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B8" w:rsidRPr="000446C9" w:rsidRDefault="001D0A90" w:rsidP="001D0A90">
      <w:pPr>
        <w:jc w:val="right"/>
        <w:rPr>
          <w:rFonts w:ascii="Times New Roman" w:hAnsi="Times New Roman" w:cs="Times New Roman"/>
          <w:b/>
          <w:i/>
          <w:sz w:val="24"/>
          <w:szCs w:val="24"/>
        </w:rPr>
      </w:pPr>
      <w:r>
        <w:rPr>
          <w:rFonts w:ascii="Times New Roman" w:hAnsi="Times New Roman" w:cs="Times New Roman"/>
          <w:b/>
          <w:sz w:val="24"/>
          <w:szCs w:val="24"/>
        </w:rPr>
        <w:t xml:space="preserve">      </w:t>
      </w:r>
      <w:r w:rsidR="00650BB8" w:rsidRPr="000446C9">
        <w:rPr>
          <w:rFonts w:ascii="Times New Roman" w:hAnsi="Times New Roman" w:cs="Times New Roman"/>
          <w:b/>
          <w:sz w:val="24"/>
          <w:szCs w:val="24"/>
        </w:rPr>
        <w:t xml:space="preserve">INDIAN BANKING </w:t>
      </w:r>
      <w:r w:rsidR="00994BA1" w:rsidRPr="000446C9">
        <w:rPr>
          <w:rFonts w:ascii="Times New Roman" w:hAnsi="Times New Roman" w:cs="Times New Roman"/>
          <w:b/>
          <w:sz w:val="24"/>
          <w:szCs w:val="24"/>
        </w:rPr>
        <w:t>PROGRESSION AND LICENCES:AN</w:t>
      </w:r>
      <w:r w:rsidR="00650BB8" w:rsidRPr="000446C9">
        <w:rPr>
          <w:rFonts w:ascii="Times New Roman" w:hAnsi="Times New Roman" w:cs="Times New Roman"/>
          <w:b/>
          <w:sz w:val="24"/>
          <w:szCs w:val="24"/>
        </w:rPr>
        <w:t xml:space="preserve"> ASSESSMENT</w:t>
      </w:r>
    </w:p>
    <w:p w:rsidR="001D0A90" w:rsidRDefault="00650BB8" w:rsidP="001D0A90">
      <w:pPr>
        <w:jc w:val="right"/>
        <w:rPr>
          <w:rFonts w:ascii="Times New Roman" w:hAnsi="Times New Roman" w:cs="Times New Roman"/>
          <w:b/>
          <w:i/>
          <w:sz w:val="24"/>
          <w:szCs w:val="24"/>
        </w:rPr>
      </w:pPr>
      <w:r w:rsidRPr="000446C9">
        <w:rPr>
          <w:rStyle w:val="FootnoteReference"/>
          <w:rFonts w:ascii="Times New Roman" w:hAnsi="Times New Roman" w:cs="Times New Roman"/>
          <w:b/>
          <w:i/>
          <w:sz w:val="24"/>
          <w:szCs w:val="24"/>
        </w:rPr>
        <w:footnoteReference w:id="2"/>
      </w:r>
      <w:r w:rsidRPr="000446C9">
        <w:rPr>
          <w:rFonts w:ascii="Times New Roman" w:hAnsi="Times New Roman" w:cs="Times New Roman"/>
          <w:b/>
          <w:i/>
          <w:sz w:val="24"/>
          <w:szCs w:val="24"/>
        </w:rPr>
        <w:t xml:space="preserve">Dr. Durga Madhab Mahapatra  and </w:t>
      </w:r>
    </w:p>
    <w:p w:rsidR="00650BB8" w:rsidRPr="000446C9" w:rsidRDefault="00650BB8" w:rsidP="001D0A90">
      <w:pPr>
        <w:jc w:val="right"/>
        <w:rPr>
          <w:rFonts w:ascii="Times New Roman" w:hAnsi="Times New Roman" w:cs="Times New Roman"/>
          <w:b/>
          <w:i/>
          <w:sz w:val="24"/>
          <w:szCs w:val="24"/>
        </w:rPr>
      </w:pPr>
      <w:r w:rsidRPr="000446C9">
        <w:rPr>
          <w:rFonts w:ascii="Times New Roman" w:hAnsi="Times New Roman" w:cs="Times New Roman"/>
          <w:b/>
          <w:i/>
          <w:sz w:val="24"/>
          <w:szCs w:val="24"/>
        </w:rPr>
        <w:t xml:space="preserve"> </w:t>
      </w:r>
      <w:r w:rsidRPr="000446C9">
        <w:rPr>
          <w:rStyle w:val="FootnoteReference"/>
          <w:rFonts w:ascii="Times New Roman" w:hAnsi="Times New Roman" w:cs="Times New Roman"/>
          <w:b/>
          <w:i/>
          <w:sz w:val="24"/>
          <w:szCs w:val="24"/>
        </w:rPr>
        <w:footnoteReference w:id="3"/>
      </w:r>
      <w:r w:rsidR="00BC0E30" w:rsidRPr="000446C9">
        <w:rPr>
          <w:rFonts w:ascii="Times New Roman" w:hAnsi="Times New Roman" w:cs="Times New Roman"/>
          <w:b/>
          <w:i/>
          <w:sz w:val="24"/>
          <w:szCs w:val="24"/>
        </w:rPr>
        <w:t>Prof.(Dr.) Ashok K</w:t>
      </w:r>
      <w:r w:rsidRPr="000446C9">
        <w:rPr>
          <w:rFonts w:ascii="Times New Roman" w:hAnsi="Times New Roman" w:cs="Times New Roman"/>
          <w:b/>
          <w:i/>
          <w:sz w:val="24"/>
          <w:szCs w:val="24"/>
        </w:rPr>
        <w:t>umar Mohanty</w:t>
      </w:r>
    </w:p>
    <w:p w:rsidR="00A62CF4" w:rsidRDefault="00A62CF4" w:rsidP="001D0A90">
      <w:pPr>
        <w:jc w:val="right"/>
        <w:rPr>
          <w:rFonts w:ascii="Times New Roman" w:hAnsi="Times New Roman" w:cs="Times New Roman"/>
          <w:b/>
          <w:sz w:val="24"/>
          <w:szCs w:val="24"/>
        </w:rPr>
      </w:pPr>
    </w:p>
    <w:p w:rsidR="00650BB8" w:rsidRPr="000446C9" w:rsidRDefault="00650BB8" w:rsidP="00A62CF4">
      <w:pPr>
        <w:jc w:val="center"/>
        <w:rPr>
          <w:rFonts w:ascii="Times New Roman" w:hAnsi="Times New Roman" w:cs="Times New Roman"/>
          <w:b/>
          <w:sz w:val="24"/>
          <w:szCs w:val="24"/>
        </w:rPr>
      </w:pPr>
      <w:r w:rsidRPr="000446C9">
        <w:rPr>
          <w:rFonts w:ascii="Times New Roman" w:hAnsi="Times New Roman" w:cs="Times New Roman"/>
          <w:b/>
          <w:sz w:val="24"/>
          <w:szCs w:val="24"/>
        </w:rPr>
        <w:t>ABSTRACT</w:t>
      </w:r>
    </w:p>
    <w:p w:rsidR="00A62CF4" w:rsidRDefault="002C1C12" w:rsidP="00A62CF4">
      <w:pPr>
        <w:shd w:val="clear" w:color="auto" w:fill="FFFFFF"/>
        <w:spacing w:line="360" w:lineRule="auto"/>
        <w:jc w:val="both"/>
        <w:textAlignment w:val="baseline"/>
        <w:rPr>
          <w:rFonts w:ascii="Times New Roman" w:hAnsi="Times New Roman" w:cs="Times New Roman"/>
          <w:i/>
          <w:sz w:val="24"/>
          <w:szCs w:val="24"/>
        </w:rPr>
      </w:pPr>
      <w:r w:rsidRPr="00A62CF4">
        <w:rPr>
          <w:rFonts w:ascii="Times New Roman" w:hAnsi="Times New Roman" w:cs="Times New Roman"/>
          <w:i/>
          <w:sz w:val="24"/>
          <w:szCs w:val="24"/>
        </w:rPr>
        <w:t>This has been a once-in-a-decade phenomenon. Following the nationalization of 14 large banks in 1969 and six in 1980, RBI has so far given licences to only 12 banks in two phases, including the conversion of a cooperative bank into a commercial bank. In the first round, the banking regulator issued licences to 10 private sector banks in 1994, shortly after the nation embraced economic liberalization</w:t>
      </w:r>
      <w:r w:rsidR="008D5E7E" w:rsidRPr="00A62CF4">
        <w:rPr>
          <w:rFonts w:ascii="Times New Roman" w:hAnsi="Times New Roman" w:cs="Times New Roman"/>
          <w:i/>
          <w:sz w:val="24"/>
          <w:szCs w:val="24"/>
        </w:rPr>
        <w:t>.</w:t>
      </w:r>
      <w:r w:rsidRPr="00A62CF4">
        <w:rPr>
          <w:rFonts w:ascii="Times New Roman" w:hAnsi="Times New Roman" w:cs="Times New Roman"/>
          <w:i/>
          <w:sz w:val="24"/>
          <w:szCs w:val="24"/>
        </w:rPr>
        <w:t xml:space="preserve"> In the second round, licences were issued to two banks</w:t>
      </w:r>
      <w:r w:rsidR="00753C40" w:rsidRPr="00A62CF4">
        <w:rPr>
          <w:rFonts w:ascii="Times New Roman" w:hAnsi="Times New Roman" w:cs="Times New Roman"/>
          <w:i/>
          <w:sz w:val="24"/>
          <w:szCs w:val="24"/>
        </w:rPr>
        <w:t xml:space="preserve"> like </w:t>
      </w:r>
      <w:hyperlink r:id="rId7" w:history="1">
        <w:r w:rsidRPr="00A62CF4">
          <w:rPr>
            <w:rFonts w:ascii="Times New Roman" w:hAnsi="Times New Roman" w:cs="Times New Roman"/>
            <w:i/>
            <w:sz w:val="24"/>
            <w:szCs w:val="24"/>
          </w:rPr>
          <w:t>Yes Bank Ltd</w:t>
        </w:r>
      </w:hyperlink>
      <w:r w:rsidRPr="00A62CF4">
        <w:rPr>
          <w:rFonts w:ascii="Times New Roman" w:hAnsi="Times New Roman" w:cs="Times New Roman"/>
          <w:i/>
          <w:sz w:val="24"/>
          <w:szCs w:val="24"/>
        </w:rPr>
        <w:t> and </w:t>
      </w:r>
      <w:hyperlink r:id="rId8" w:history="1">
        <w:r w:rsidRPr="00A62CF4">
          <w:rPr>
            <w:rFonts w:ascii="Times New Roman" w:hAnsi="Times New Roman" w:cs="Times New Roman"/>
            <w:i/>
            <w:sz w:val="24"/>
            <w:szCs w:val="24"/>
          </w:rPr>
          <w:t>Kotak Mahindra Bank Ltd</w:t>
        </w:r>
      </w:hyperlink>
      <w:r w:rsidR="00753C40" w:rsidRPr="00A62CF4">
        <w:rPr>
          <w:rFonts w:ascii="Times New Roman" w:hAnsi="Times New Roman" w:cs="Times New Roman"/>
          <w:i/>
          <w:sz w:val="24"/>
          <w:szCs w:val="24"/>
        </w:rPr>
        <w:t xml:space="preserve"> </w:t>
      </w:r>
      <w:r w:rsidRPr="00A62CF4">
        <w:rPr>
          <w:rFonts w:ascii="Times New Roman" w:hAnsi="Times New Roman" w:cs="Times New Roman"/>
          <w:i/>
          <w:sz w:val="24"/>
          <w:szCs w:val="24"/>
        </w:rPr>
        <w:t xml:space="preserve">in 2004. </w:t>
      </w:r>
    </w:p>
    <w:p w:rsidR="00A62CF4" w:rsidRDefault="00A62CF4" w:rsidP="00A62CF4">
      <w:pPr>
        <w:shd w:val="clear" w:color="auto" w:fill="FFFFFF"/>
        <w:spacing w:line="360" w:lineRule="auto"/>
        <w:jc w:val="both"/>
        <w:textAlignment w:val="baseline"/>
        <w:rPr>
          <w:rFonts w:ascii="Times New Roman" w:hAnsi="Times New Roman" w:cs="Times New Roman"/>
          <w:i/>
          <w:sz w:val="24"/>
          <w:szCs w:val="24"/>
        </w:rPr>
      </w:pPr>
    </w:p>
    <w:p w:rsidR="002C1C12" w:rsidRPr="00A62CF4" w:rsidRDefault="002C1C12" w:rsidP="00A62CF4">
      <w:pPr>
        <w:shd w:val="clear" w:color="auto" w:fill="FFFFFF"/>
        <w:spacing w:line="360" w:lineRule="auto"/>
        <w:jc w:val="both"/>
        <w:textAlignment w:val="baseline"/>
        <w:rPr>
          <w:rFonts w:ascii="Times New Roman" w:hAnsi="Times New Roman" w:cs="Times New Roman"/>
          <w:i/>
          <w:sz w:val="24"/>
          <w:szCs w:val="24"/>
        </w:rPr>
      </w:pPr>
      <w:r w:rsidRPr="00A62CF4">
        <w:rPr>
          <w:rFonts w:ascii="Times New Roman" w:hAnsi="Times New Roman" w:cs="Times New Roman"/>
          <w:i/>
          <w:sz w:val="24"/>
          <w:szCs w:val="24"/>
        </w:rPr>
        <w:t>In the past, RBI’s stated objective behind giving licences to new banks was to introduce competition in the sector, largely dominated by government-owned banks. This time, the prime focus is to promote so-called financial inclusion, or increasing the reach of financial services to the unbanked population.</w:t>
      </w:r>
      <w:r w:rsidR="00F57B16" w:rsidRPr="00A62CF4">
        <w:rPr>
          <w:rFonts w:ascii="Times New Roman" w:hAnsi="Times New Roman" w:cs="Times New Roman"/>
          <w:i/>
          <w:sz w:val="24"/>
          <w:szCs w:val="24"/>
        </w:rPr>
        <w:t xml:space="preserve"> RBI would open up the sector and issue fresh licences with the objective of spreading banking services wider in a nation where roughly 50 percent  of the adult population does not have access to them.  RBI issued the guidelines on new banking licence in February 2013 and set a 1st July deadline for applications.</w:t>
      </w:r>
      <w:r w:rsidR="0065600D" w:rsidRPr="00A62CF4">
        <w:rPr>
          <w:rFonts w:ascii="Times New Roman" w:hAnsi="Times New Roman" w:cs="Times New Roman"/>
          <w:i/>
          <w:sz w:val="24"/>
          <w:szCs w:val="24"/>
        </w:rPr>
        <w:t xml:space="preserve"> Further this research paper discussed regarding growth of banks, Next regeneration financial sector reforms and new banking licenses and its guidelines.</w:t>
      </w:r>
    </w:p>
    <w:p w:rsidR="00A62CF4" w:rsidRDefault="00A62CF4" w:rsidP="00A62CF4">
      <w:pPr>
        <w:shd w:val="clear" w:color="auto" w:fill="FFFFFF"/>
        <w:spacing w:line="360" w:lineRule="auto"/>
        <w:jc w:val="both"/>
        <w:textAlignment w:val="baseline"/>
        <w:rPr>
          <w:rFonts w:ascii="Times New Roman" w:hAnsi="Times New Roman" w:cs="Times New Roman"/>
          <w:i/>
          <w:sz w:val="24"/>
          <w:szCs w:val="24"/>
        </w:rPr>
      </w:pPr>
    </w:p>
    <w:p w:rsidR="00FB16EB" w:rsidRPr="00A62CF4" w:rsidRDefault="00FB16EB" w:rsidP="00A62CF4">
      <w:pPr>
        <w:shd w:val="clear" w:color="auto" w:fill="FFFFFF"/>
        <w:spacing w:line="360" w:lineRule="auto"/>
        <w:jc w:val="both"/>
        <w:textAlignment w:val="baseline"/>
        <w:rPr>
          <w:rFonts w:ascii="Times New Roman" w:hAnsi="Times New Roman" w:cs="Times New Roman"/>
          <w:i/>
          <w:sz w:val="24"/>
          <w:szCs w:val="24"/>
        </w:rPr>
      </w:pPr>
      <w:r w:rsidRPr="00A62CF4">
        <w:rPr>
          <w:rFonts w:ascii="Times New Roman" w:hAnsi="Times New Roman" w:cs="Times New Roman"/>
          <w:b/>
          <w:i/>
          <w:sz w:val="24"/>
          <w:szCs w:val="24"/>
        </w:rPr>
        <w:t xml:space="preserve">Key words: </w:t>
      </w:r>
      <w:r w:rsidRPr="00A62CF4">
        <w:rPr>
          <w:rFonts w:ascii="Times New Roman" w:hAnsi="Times New Roman" w:cs="Times New Roman"/>
          <w:i/>
          <w:sz w:val="24"/>
          <w:szCs w:val="24"/>
        </w:rPr>
        <w:t>Bank,</w:t>
      </w:r>
      <w:r w:rsidR="009B5657" w:rsidRPr="00A62CF4">
        <w:rPr>
          <w:rFonts w:ascii="Times New Roman" w:hAnsi="Times New Roman" w:cs="Times New Roman"/>
          <w:i/>
          <w:sz w:val="24"/>
          <w:szCs w:val="24"/>
        </w:rPr>
        <w:t xml:space="preserve"> </w:t>
      </w:r>
      <w:r w:rsidRPr="00A62CF4">
        <w:rPr>
          <w:rFonts w:ascii="Times New Roman" w:hAnsi="Times New Roman" w:cs="Times New Roman"/>
          <w:i/>
          <w:sz w:val="24"/>
          <w:szCs w:val="24"/>
        </w:rPr>
        <w:t>Licenses</w:t>
      </w:r>
      <w:r w:rsidR="009B5657" w:rsidRPr="00A62CF4">
        <w:rPr>
          <w:rFonts w:ascii="Times New Roman" w:hAnsi="Times New Roman" w:cs="Times New Roman"/>
          <w:i/>
          <w:sz w:val="24"/>
          <w:szCs w:val="24"/>
        </w:rPr>
        <w:t xml:space="preserve"> </w:t>
      </w:r>
      <w:r w:rsidRPr="00A62CF4">
        <w:rPr>
          <w:rFonts w:ascii="Times New Roman" w:hAnsi="Times New Roman" w:cs="Times New Roman"/>
          <w:i/>
          <w:sz w:val="24"/>
          <w:szCs w:val="24"/>
        </w:rPr>
        <w:t>,RBI</w:t>
      </w:r>
      <w:r w:rsidR="009B5657" w:rsidRPr="00A62CF4">
        <w:rPr>
          <w:rFonts w:ascii="Times New Roman" w:hAnsi="Times New Roman" w:cs="Times New Roman"/>
          <w:i/>
          <w:sz w:val="24"/>
          <w:szCs w:val="24"/>
        </w:rPr>
        <w:t xml:space="preserve"> </w:t>
      </w:r>
      <w:r w:rsidRPr="00A62CF4">
        <w:rPr>
          <w:rFonts w:ascii="Times New Roman" w:hAnsi="Times New Roman" w:cs="Times New Roman"/>
          <w:i/>
          <w:sz w:val="24"/>
          <w:szCs w:val="24"/>
        </w:rPr>
        <w:t>.</w:t>
      </w:r>
      <w:r w:rsidR="009B5657" w:rsidRPr="00A62CF4">
        <w:rPr>
          <w:rFonts w:ascii="Times New Roman" w:hAnsi="Times New Roman" w:cs="Times New Roman"/>
          <w:i/>
          <w:sz w:val="24"/>
          <w:szCs w:val="24"/>
        </w:rPr>
        <w:t>Application</w:t>
      </w:r>
    </w:p>
    <w:p w:rsidR="00A62CF4" w:rsidRPr="00A62CF4" w:rsidRDefault="00A62CF4" w:rsidP="00A62CF4">
      <w:pPr>
        <w:shd w:val="clear" w:color="auto" w:fill="FFFFFF"/>
        <w:spacing w:line="360" w:lineRule="auto"/>
        <w:jc w:val="both"/>
        <w:textAlignment w:val="baseline"/>
        <w:rPr>
          <w:rFonts w:ascii="Times New Roman" w:hAnsi="Times New Roman" w:cs="Times New Roman"/>
          <w:b/>
          <w:i/>
          <w:sz w:val="24"/>
          <w:szCs w:val="24"/>
        </w:rPr>
      </w:pPr>
    </w:p>
    <w:p w:rsidR="00A62CF4" w:rsidRPr="00A62CF4" w:rsidRDefault="00A62CF4" w:rsidP="00A62CF4">
      <w:pPr>
        <w:shd w:val="clear" w:color="auto" w:fill="FFFFFF"/>
        <w:spacing w:line="360" w:lineRule="auto"/>
        <w:jc w:val="both"/>
        <w:textAlignment w:val="baseline"/>
        <w:rPr>
          <w:rFonts w:ascii="Times New Roman" w:hAnsi="Times New Roman" w:cs="Times New Roman"/>
          <w:b/>
          <w:i/>
          <w:sz w:val="24"/>
          <w:szCs w:val="24"/>
        </w:rPr>
      </w:pPr>
    </w:p>
    <w:p w:rsidR="00A62CF4" w:rsidRPr="00A62CF4" w:rsidRDefault="00A62CF4" w:rsidP="00A62CF4">
      <w:pPr>
        <w:shd w:val="clear" w:color="auto" w:fill="FFFFFF"/>
        <w:spacing w:line="360" w:lineRule="auto"/>
        <w:jc w:val="both"/>
        <w:textAlignment w:val="baseline"/>
        <w:rPr>
          <w:rFonts w:ascii="Times New Roman" w:hAnsi="Times New Roman" w:cs="Times New Roman"/>
          <w:b/>
          <w:i/>
          <w:sz w:val="24"/>
          <w:szCs w:val="24"/>
        </w:rPr>
      </w:pPr>
    </w:p>
    <w:p w:rsidR="00A62CF4" w:rsidRPr="00A62CF4" w:rsidRDefault="00A62CF4" w:rsidP="00A62CF4">
      <w:pPr>
        <w:shd w:val="clear" w:color="auto" w:fill="FFFFFF"/>
        <w:spacing w:line="360" w:lineRule="auto"/>
        <w:jc w:val="both"/>
        <w:textAlignment w:val="baseline"/>
        <w:rPr>
          <w:rFonts w:ascii="Times New Roman" w:hAnsi="Times New Roman" w:cs="Times New Roman"/>
          <w:b/>
          <w:i/>
          <w:sz w:val="24"/>
          <w:szCs w:val="24"/>
        </w:rPr>
      </w:pPr>
    </w:p>
    <w:p w:rsidR="00A62CF4" w:rsidRPr="00A62CF4" w:rsidRDefault="00A62CF4" w:rsidP="00A62CF4">
      <w:pPr>
        <w:shd w:val="clear" w:color="auto" w:fill="FFFFFF"/>
        <w:spacing w:line="360" w:lineRule="auto"/>
        <w:jc w:val="both"/>
        <w:textAlignment w:val="baseline"/>
        <w:rPr>
          <w:rFonts w:ascii="Times New Roman" w:hAnsi="Times New Roman" w:cs="Times New Roman"/>
          <w:b/>
          <w:i/>
          <w:sz w:val="24"/>
          <w:szCs w:val="24"/>
        </w:rPr>
      </w:pPr>
    </w:p>
    <w:p w:rsidR="00A62CF4" w:rsidRDefault="00A62CF4" w:rsidP="000446C9">
      <w:pPr>
        <w:shd w:val="clear" w:color="auto" w:fill="FFFFFF"/>
        <w:jc w:val="both"/>
        <w:textAlignment w:val="baseline"/>
        <w:rPr>
          <w:rFonts w:ascii="Times New Roman" w:hAnsi="Times New Roman" w:cs="Times New Roman"/>
          <w:b/>
          <w:sz w:val="24"/>
          <w:szCs w:val="24"/>
        </w:rPr>
      </w:pPr>
    </w:p>
    <w:p w:rsidR="00A62CF4" w:rsidRDefault="00A62CF4" w:rsidP="000446C9">
      <w:pPr>
        <w:shd w:val="clear" w:color="auto" w:fill="FFFFFF"/>
        <w:jc w:val="both"/>
        <w:textAlignment w:val="baseline"/>
        <w:rPr>
          <w:rFonts w:ascii="Times New Roman" w:hAnsi="Times New Roman" w:cs="Times New Roman"/>
          <w:b/>
          <w:sz w:val="24"/>
          <w:szCs w:val="24"/>
        </w:rPr>
      </w:pPr>
    </w:p>
    <w:p w:rsidR="00A62CF4" w:rsidRDefault="00A62CF4" w:rsidP="000446C9">
      <w:pPr>
        <w:shd w:val="clear" w:color="auto" w:fill="FFFFFF"/>
        <w:jc w:val="both"/>
        <w:textAlignment w:val="baseline"/>
        <w:rPr>
          <w:rFonts w:ascii="Times New Roman" w:hAnsi="Times New Roman" w:cs="Times New Roman"/>
          <w:b/>
          <w:sz w:val="24"/>
          <w:szCs w:val="24"/>
        </w:rPr>
      </w:pPr>
    </w:p>
    <w:p w:rsidR="00A62CF4" w:rsidRDefault="00A62CF4" w:rsidP="000446C9">
      <w:pPr>
        <w:shd w:val="clear" w:color="auto" w:fill="FFFFFF"/>
        <w:jc w:val="both"/>
        <w:textAlignment w:val="baseline"/>
        <w:rPr>
          <w:rFonts w:ascii="Times New Roman" w:hAnsi="Times New Roman" w:cs="Times New Roman"/>
          <w:b/>
          <w:sz w:val="24"/>
          <w:szCs w:val="24"/>
        </w:rPr>
      </w:pPr>
    </w:p>
    <w:p w:rsidR="00A62CF4" w:rsidRDefault="00A62CF4" w:rsidP="000446C9">
      <w:pPr>
        <w:shd w:val="clear" w:color="auto" w:fill="FFFFFF"/>
        <w:jc w:val="both"/>
        <w:textAlignment w:val="baseline"/>
        <w:rPr>
          <w:rFonts w:ascii="Times New Roman" w:hAnsi="Times New Roman" w:cs="Times New Roman"/>
          <w:b/>
          <w:sz w:val="24"/>
          <w:szCs w:val="24"/>
        </w:rPr>
      </w:pPr>
    </w:p>
    <w:p w:rsidR="00971265" w:rsidRPr="000446C9" w:rsidRDefault="00971265" w:rsidP="000446C9">
      <w:pPr>
        <w:shd w:val="clear" w:color="auto" w:fill="FFFFFF"/>
        <w:jc w:val="both"/>
        <w:textAlignment w:val="baseline"/>
        <w:rPr>
          <w:rFonts w:ascii="Times New Roman" w:hAnsi="Times New Roman" w:cs="Times New Roman"/>
          <w:b/>
          <w:sz w:val="24"/>
          <w:szCs w:val="24"/>
        </w:rPr>
      </w:pPr>
      <w:r w:rsidRPr="000446C9">
        <w:rPr>
          <w:rFonts w:ascii="Times New Roman" w:hAnsi="Times New Roman" w:cs="Times New Roman"/>
          <w:b/>
          <w:sz w:val="24"/>
          <w:szCs w:val="24"/>
        </w:rPr>
        <w:t>INTRODUCTION</w:t>
      </w:r>
    </w:p>
    <w:p w:rsidR="00971265" w:rsidRPr="000446C9" w:rsidRDefault="00971265" w:rsidP="000446C9">
      <w:pPr>
        <w:shd w:val="clear" w:color="auto" w:fill="FFFFFF"/>
        <w:jc w:val="both"/>
        <w:textAlignment w:val="baseline"/>
        <w:rPr>
          <w:rFonts w:ascii="Times New Roman" w:hAnsi="Times New Roman" w:cs="Times New Roman"/>
          <w:sz w:val="24"/>
          <w:szCs w:val="24"/>
        </w:rPr>
      </w:pPr>
      <w:r w:rsidRPr="000446C9">
        <w:rPr>
          <w:rFonts w:ascii="Times New Roman" w:eastAsia="Times New Roman" w:hAnsi="Times New Roman" w:cs="Times New Roman"/>
          <w:sz w:val="24"/>
          <w:szCs w:val="24"/>
        </w:rPr>
        <w:t xml:space="preserve">The banking sector in India has undergone remarkable changes since the economic reforms initiated in 1991-92. The period has been marked by a slew of reforms in the sector, which provided the much needed impetus for the growth of the sector as a whole. The major reform initiatives during this period include deregulation of interest rates, adoption of prudential norms in terms of capital adequacy, asset classification and provisioning, lowering of reserve requirements in terms of Statutory Liquidity Ratio (SLR) and Cash Reserve Ratio (CRR), dilution of government equity holding in public sector banks, opening of the sector to private participation, permission to foreign banks to expand their operations through subsidiaries, introduction of universal banking, greater emphasis on risk management by allowing banks to participate in instruments such as interest rate swaps, cross country forward contracts, liquidity adjustment facility, liberalisation of FDI norms in banks and the introduction of Real Time Gross Settlement (RTGS), among others. Those measures along with Reserve Bank of India’s (RBI) efforts to adopt international banking standards and best practices as prescribed in the Basel Accords have no doubt helped enormously the banking industry to enter a new era. In February 2005, RBI had stated in its “Road Map for Presence of Foreign Banks in India” that it would revisit  the policy in 2009 and explore allowing Foreign banks a larger play locally (giving national treatments and market access within  WTO norms) subject to interests of all stakeholders. RBI has been much more liberal in its policies towards foreign banks vis-à-vis developed countries. However, RBI gave foreign banks a window of opportunity which they grabbed with both hands. In its move to encourage banks  to open branches in  under-banked areas, RBI recently allowed domestic banks to open branches in Tier-III to Tier-VI cities without prior approval. Foreign banks, too, are being encouraged to open shop in under-banked areas. Data  from  RBI clearly reflect the trend till April 1,2007, foreign banks had no branch in rural </w:t>
      </w:r>
      <w:r w:rsidRPr="000446C9">
        <w:rPr>
          <w:rFonts w:ascii="Times New Roman" w:eastAsia="Times New Roman" w:hAnsi="Times New Roman" w:cs="Times New Roman"/>
          <w:sz w:val="24"/>
          <w:szCs w:val="24"/>
        </w:rPr>
        <w:lastRenderedPageBreak/>
        <w:t>centres( population less than 9,999) and only two branches in semi-urban centres( population less than 99,999). Between April 1, 2009, foreign banks opened 16 branches, of which  four were in rural areas and two in semi-urban areas.</w:t>
      </w:r>
      <w:r w:rsidR="000D4D60" w:rsidRPr="000446C9">
        <w:rPr>
          <w:rFonts w:ascii="Times New Roman" w:hAnsi="Times New Roman" w:cs="Times New Roman"/>
          <w:sz w:val="24"/>
          <w:szCs w:val="24"/>
        </w:rPr>
        <w:t xml:space="preserve"> Further, the licensing norms, the new bank will have to be listed within three years, bringing down the promoters’ shareholding to 40%. Within 10 years, this holding must be further pared to 20%, and by the 12th year to 15%. It is for sure with  armed with technology, the new banks will shift the playing field from the cities to rural India and add a new dimension to the rural consumption story.</w:t>
      </w:r>
    </w:p>
    <w:p w:rsidR="00962602" w:rsidRPr="000446C9" w:rsidRDefault="00962602" w:rsidP="000446C9">
      <w:pPr>
        <w:spacing w:before="120" w:after="120"/>
        <w:jc w:val="both"/>
        <w:rPr>
          <w:rFonts w:ascii="Times New Roman" w:eastAsia="Times New Roman" w:hAnsi="Times New Roman" w:cs="Times New Roman"/>
          <w:b/>
          <w:sz w:val="24"/>
          <w:szCs w:val="24"/>
        </w:rPr>
      </w:pPr>
      <w:r w:rsidRPr="000446C9">
        <w:rPr>
          <w:rFonts w:ascii="Times New Roman" w:eastAsia="Times New Roman" w:hAnsi="Times New Roman" w:cs="Times New Roman"/>
          <w:b/>
          <w:sz w:val="24"/>
          <w:szCs w:val="24"/>
        </w:rPr>
        <w:t>OBJECTIVES OF THE STUDY</w:t>
      </w:r>
    </w:p>
    <w:p w:rsidR="00962602" w:rsidRPr="000446C9" w:rsidRDefault="00962602"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India’s banking sector is growing at a fast pace. It has become one of the most preferred banking destinations in the world. It is almost fifteen years since the Indian banking sector was liberalised paradigm shift has taken place, with the entry of private and foreign banks in terms of competition and profits. </w:t>
      </w:r>
      <w:r w:rsidRPr="000446C9">
        <w:rPr>
          <w:rFonts w:ascii="Times New Roman" w:hAnsi="Times New Roman" w:cs="Times New Roman"/>
          <w:sz w:val="24"/>
          <w:szCs w:val="24"/>
        </w:rPr>
        <w:t xml:space="preserve"> Further, IMF’s financial access survey of 2011 gives us a fair idea about how critical financial inclusion is in India. In every 1,000km stretch, India has 30.43 bank branches and 25.43 automated teller machines (ATMs). In contrast, China has 1,428.98 branches and 2,975.05 ATMs. Similarly, there are 10.64 bank branches and 8.9 ATMs for every 100,000 of the population in India. The comparable figures for China are 23.81 and 49.56. Finally, bank deposits in India constitute 68.43% of the nation’s gross domestic product (GDP) and credit 51.75% against China’s 433.96% and 287.89%, respectively. To expand banking services in a nation of 1.2 billion people.</w:t>
      </w:r>
    </w:p>
    <w:p w:rsidR="00962602" w:rsidRPr="000446C9" w:rsidRDefault="00962602"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The present study will be conducted with the following objectives:</w:t>
      </w:r>
    </w:p>
    <w:p w:rsidR="00962602" w:rsidRPr="000446C9" w:rsidRDefault="00962602" w:rsidP="000446C9">
      <w:pPr>
        <w:pStyle w:val="ListParagraph"/>
        <w:numPr>
          <w:ilvl w:val="0"/>
          <w:numId w:val="3"/>
        </w:num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To study and analyse the </w:t>
      </w:r>
      <w:r w:rsidR="004A6186" w:rsidRPr="000446C9">
        <w:rPr>
          <w:rFonts w:ascii="Times New Roman" w:eastAsia="Times New Roman" w:hAnsi="Times New Roman" w:cs="Times New Roman"/>
          <w:sz w:val="24"/>
          <w:szCs w:val="24"/>
        </w:rPr>
        <w:t>growth</w:t>
      </w:r>
      <w:r w:rsidRPr="000446C9">
        <w:rPr>
          <w:rFonts w:ascii="Times New Roman" w:eastAsia="Times New Roman" w:hAnsi="Times New Roman" w:cs="Times New Roman"/>
          <w:sz w:val="24"/>
          <w:szCs w:val="24"/>
        </w:rPr>
        <w:t xml:space="preserve"> of Indian banking sector;</w:t>
      </w:r>
    </w:p>
    <w:p w:rsidR="00962602" w:rsidRPr="000446C9" w:rsidRDefault="00962602" w:rsidP="000446C9">
      <w:pPr>
        <w:pStyle w:val="ListParagraph"/>
        <w:numPr>
          <w:ilvl w:val="0"/>
          <w:numId w:val="3"/>
        </w:num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To discuss the </w:t>
      </w:r>
      <w:r w:rsidR="004A6186" w:rsidRPr="000446C9">
        <w:rPr>
          <w:rFonts w:ascii="Times New Roman" w:eastAsia="Times New Roman" w:hAnsi="Times New Roman" w:cs="Times New Roman"/>
          <w:sz w:val="24"/>
          <w:szCs w:val="24"/>
        </w:rPr>
        <w:t>next generation financial sector reforms</w:t>
      </w:r>
      <w:r w:rsidRPr="000446C9">
        <w:rPr>
          <w:rFonts w:ascii="Times New Roman" w:eastAsia="Times New Roman" w:hAnsi="Times New Roman" w:cs="Times New Roman"/>
          <w:sz w:val="24"/>
          <w:szCs w:val="24"/>
        </w:rPr>
        <w:t>;</w:t>
      </w:r>
    </w:p>
    <w:p w:rsidR="004A6186" w:rsidRPr="000446C9" w:rsidRDefault="00962602" w:rsidP="000446C9">
      <w:pPr>
        <w:pStyle w:val="ListParagraph"/>
        <w:numPr>
          <w:ilvl w:val="0"/>
          <w:numId w:val="3"/>
        </w:numPr>
        <w:shd w:val="clear" w:color="auto" w:fill="FFFFFF"/>
        <w:jc w:val="both"/>
        <w:textAlignment w:val="baseline"/>
        <w:rPr>
          <w:rFonts w:ascii="Times New Roman" w:hAnsi="Times New Roman" w:cs="Times New Roman"/>
          <w:sz w:val="24"/>
          <w:szCs w:val="24"/>
        </w:rPr>
      </w:pPr>
      <w:r w:rsidRPr="000446C9">
        <w:rPr>
          <w:rFonts w:ascii="Times New Roman" w:eastAsia="Times New Roman" w:hAnsi="Times New Roman" w:cs="Times New Roman"/>
          <w:sz w:val="24"/>
          <w:szCs w:val="24"/>
        </w:rPr>
        <w:t>To examine the</w:t>
      </w:r>
      <w:r w:rsidR="004A6186" w:rsidRPr="000446C9">
        <w:rPr>
          <w:rFonts w:ascii="Times New Roman" w:eastAsia="Times New Roman" w:hAnsi="Times New Roman" w:cs="Times New Roman"/>
          <w:sz w:val="24"/>
          <w:szCs w:val="24"/>
        </w:rPr>
        <w:t xml:space="preserve"> </w:t>
      </w:r>
      <w:r w:rsidR="004A6186" w:rsidRPr="000446C9">
        <w:rPr>
          <w:rFonts w:ascii="Times New Roman" w:hAnsi="Times New Roman" w:cs="Times New Roman"/>
          <w:sz w:val="24"/>
          <w:szCs w:val="24"/>
        </w:rPr>
        <w:t>new banking licenses and its guidelines.</w:t>
      </w:r>
    </w:p>
    <w:p w:rsidR="00962602" w:rsidRPr="000446C9" w:rsidRDefault="00962602" w:rsidP="000446C9">
      <w:pPr>
        <w:spacing w:before="120" w:after="120"/>
        <w:jc w:val="both"/>
        <w:rPr>
          <w:rFonts w:ascii="Times New Roman" w:eastAsia="Times New Roman" w:hAnsi="Times New Roman" w:cs="Times New Roman"/>
          <w:b/>
          <w:sz w:val="24"/>
          <w:szCs w:val="24"/>
        </w:rPr>
      </w:pPr>
      <w:r w:rsidRPr="000446C9">
        <w:rPr>
          <w:rFonts w:ascii="Times New Roman" w:eastAsia="Times New Roman" w:hAnsi="Times New Roman" w:cs="Times New Roman"/>
          <w:b/>
          <w:sz w:val="24"/>
          <w:szCs w:val="24"/>
        </w:rPr>
        <w:t xml:space="preserve">REVIEW OF LITERATURE </w:t>
      </w:r>
    </w:p>
    <w:p w:rsidR="00962602" w:rsidRPr="000446C9" w:rsidRDefault="00962602"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The ongoing reforms process has seen several major positive changes in the Indian banking sector. Deregulation has enabled banks in India to improve their financial health in terms of capital adequacy, asset quality, profitability and provisioning. This is an encouraging sign as the Indian banking industry has for long been suffering from the chronic problem of NPAs. </w:t>
      </w:r>
    </w:p>
    <w:p w:rsidR="005D2D00" w:rsidRPr="000446C9" w:rsidRDefault="00BB2F8B"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Singh and Sharma (2012) stated about reforms in banking sector impacts upon foreign banks operating in India. The performance of foreign banks improved after reforms in terms of numbers, size, profitability and efficiency. As a result of the reforms, the number of foreign banks increased rapidly.</w:t>
      </w:r>
    </w:p>
    <w:p w:rsidR="005D2D00" w:rsidRPr="000446C9" w:rsidRDefault="00BB2F8B"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 Verma and Bodla(2011) attempt to evaluate the productive  efficiency of Scheduled Commercial Banks(SCBs) operating in India from the year 1998-99 to 2007-08. The study indicate that the Scheduled Commercial Banks need a lot of improvement in their efficiency level, as at the most only 42.9 percent foreign banks, 42.9 percent public sector banks and 40 percent private sector banks in India. </w:t>
      </w:r>
    </w:p>
    <w:p w:rsidR="005D2D00" w:rsidRPr="000446C9" w:rsidRDefault="00BB2F8B"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lastRenderedPageBreak/>
        <w:t xml:space="preserve"> Wanniarachchige, M.K and Ritsumeikan ; Y.S.(2011) stated how state-owned, nationalized and domestic private banks are behind foreign banks using data envelopment analysis together with three supplementary measures of performance from 2002-2009. But the performance of domestic banks has not yet reached the level of foreign banks in terms of both cost and revenue efficiencies.</w:t>
      </w:r>
    </w:p>
    <w:p w:rsidR="005D2D00" w:rsidRPr="000446C9" w:rsidRDefault="00BB2F8B"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 Sinha, Siddharth. (2012) stated that there has been a significant growth in bank advances and deposits during the period 2005-06 to 2010-11. The CAGR for SBI and new private sector banks are similar. However there is a sharp difference among the bank groups in their response to the financial crisis. The ROA of private sector banks have consistently been higher than that of PSBs. Overall the NPAs of the private sector banks are significantly lower than those of the PSBs in 2010-11.</w:t>
      </w:r>
    </w:p>
    <w:p w:rsidR="005D2D00" w:rsidRPr="000446C9" w:rsidRDefault="00BB2F8B"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 Varadharajan,p. and Vikkraman,p. (2011) focus of the study was to measure the efficiency levels of the 15 private sector banks taken for the study. The range of efficiency falls between 149% (Lakshmi Vilas Bank) to 737 %(Kaur Vysya bank). The mean score of all fifteen banks is 350%. The other banks which have performed quite well are Federal Bank (560%), HDFC Bank (550%) and Bank of Rajasthan (513%) and poor level of efficiency are ICICI Bank and Development Credit Bank with scores of 159% and 186% respectively. Singh, D. and Kohli, G. (2006) stated the SWOT analysis of 20 old and 10 new private sector banks. These banks have also been ranked on the basis of financial data for the years 2003-04, 2004-05 and 2005-06. The study has been used CAMEL model for evaluating these banks. The study shows Centurion bank was at the top position in terms of capital adequacy YES bank was at the top on the basis of management, Tamilnadu merchantile bank was at the top in terms of earnings and Ratnakar Bank was at the top in terms of liquidity. </w:t>
      </w:r>
    </w:p>
    <w:p w:rsidR="005D2D00" w:rsidRPr="000446C9" w:rsidRDefault="00BB2F8B"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 xml:space="preserve">Bhaarathi,N.(2010) Banks play an active role in the economic development of a country. Their ability to make a positive contribution in igniting the process of growth depends on the effective banking system. These banks mostly deal with money collected in the form of deposits along with their own funds in the form of share capital and resources constituting around 5% of the total resources of the banks. So the banks have the obligation of meeting the demand of the customers promptly, paying interest for the amount and meeting the expenses to carry out its activities. This necessitates the banks to maintain adequate liquidity and earn required profit from their activities. Maintenance of liquidity and profitability are contradictory in nature. (Therefore, the banks have to perform the difficult task of maintaining equilibrium between liquidity and profitability). </w:t>
      </w:r>
    </w:p>
    <w:p w:rsidR="00BB2F8B" w:rsidRPr="000446C9" w:rsidRDefault="00BB2F8B" w:rsidP="000446C9">
      <w:pPr>
        <w:spacing w:before="120" w:after="120"/>
        <w:jc w:val="both"/>
        <w:rPr>
          <w:rFonts w:ascii="Times New Roman" w:eastAsia="Times New Roman" w:hAnsi="Times New Roman" w:cs="Times New Roman"/>
          <w:sz w:val="24"/>
          <w:szCs w:val="24"/>
        </w:rPr>
      </w:pPr>
      <w:r w:rsidRPr="000446C9">
        <w:rPr>
          <w:rFonts w:ascii="Times New Roman" w:eastAsia="Times New Roman" w:hAnsi="Times New Roman" w:cs="Times New Roman"/>
          <w:sz w:val="24"/>
          <w:szCs w:val="24"/>
        </w:rPr>
        <w:t>Ramachandran, A. and Kavitha,N.(2008) stated during industrialization, finance was considered as the major input for achieving industrial growth. Banking industry is playing a role of a catalyst by providing financial assistance to various sectors of economy viz., agriculture, industry and service. The recent past has witnessed drastic changes in the Indian economy. When the economy is witnessing sea change, obviously the banking sector is bound to change in tandem.</w:t>
      </w:r>
    </w:p>
    <w:p w:rsidR="00962602" w:rsidRPr="000446C9" w:rsidRDefault="004943FB" w:rsidP="000446C9">
      <w:pPr>
        <w:shd w:val="clear" w:color="auto" w:fill="FFFFFF"/>
        <w:jc w:val="both"/>
        <w:textAlignment w:val="baseline"/>
        <w:rPr>
          <w:rFonts w:ascii="Times New Roman" w:eastAsia="Times New Roman" w:hAnsi="Times New Roman" w:cs="Times New Roman"/>
          <w:b/>
          <w:sz w:val="24"/>
          <w:szCs w:val="24"/>
        </w:rPr>
      </w:pPr>
      <w:r w:rsidRPr="000446C9">
        <w:rPr>
          <w:rFonts w:ascii="Times New Roman" w:eastAsia="Times New Roman" w:hAnsi="Times New Roman" w:cs="Times New Roman"/>
          <w:b/>
          <w:sz w:val="24"/>
          <w:szCs w:val="24"/>
        </w:rPr>
        <w:lastRenderedPageBreak/>
        <w:t>DISCUSSION OF THE PAPER</w:t>
      </w:r>
    </w:p>
    <w:p w:rsidR="0061240B" w:rsidRPr="000446C9" w:rsidRDefault="00B423E1" w:rsidP="000446C9">
      <w:pPr>
        <w:spacing w:before="120" w:after="120"/>
        <w:jc w:val="both"/>
        <w:rPr>
          <w:rFonts w:ascii="Times New Roman" w:hAnsi="Times New Roman" w:cs="Times New Roman"/>
          <w:b/>
          <w:sz w:val="24"/>
          <w:szCs w:val="24"/>
        </w:rPr>
      </w:pPr>
      <w:r w:rsidRPr="000446C9">
        <w:rPr>
          <w:rFonts w:ascii="Times New Roman" w:hAnsi="Times New Roman" w:cs="Times New Roman"/>
          <w:b/>
          <w:sz w:val="24"/>
          <w:szCs w:val="24"/>
        </w:rPr>
        <w:t>GROWTH OF INDIAN BANKING SECTOR</w:t>
      </w:r>
    </w:p>
    <w:p w:rsidR="00B423E1" w:rsidRPr="000446C9" w:rsidRDefault="00FC484A" w:rsidP="000446C9">
      <w:pPr>
        <w:spacing w:before="120" w:after="120"/>
        <w:jc w:val="both"/>
        <w:rPr>
          <w:rFonts w:ascii="Times New Roman" w:hAnsi="Times New Roman" w:cs="Times New Roman"/>
          <w:sz w:val="24"/>
          <w:szCs w:val="24"/>
        </w:rPr>
      </w:pPr>
      <w:r w:rsidRPr="000446C9">
        <w:rPr>
          <w:rFonts w:ascii="Times New Roman" w:hAnsi="Times New Roman" w:cs="Times New Roman"/>
          <w:sz w:val="24"/>
          <w:szCs w:val="24"/>
        </w:rPr>
        <w:t>India has 27 public sector banks, 22 private sector banks. In the past 20 years, the RBI has licensed only 12 banks in the private sector in two phases. Ten has already in 1993. </w:t>
      </w:r>
      <w:r w:rsidRPr="000446C9">
        <w:rPr>
          <w:rFonts w:ascii="Times New Roman" w:hAnsi="Times New Roman" w:cs="Times New Roman"/>
          <w:sz w:val="24"/>
          <w:szCs w:val="24"/>
        </w:rPr>
        <w:br/>
        <w:t>The guidelines were revised in January 2001, based on the experience gained from the functioning of these banks, and fresh applications were invited. Kotak Mahindra Bank and Yes Bank were the last two entities to get banking licences from RBI in 2003-04.</w:t>
      </w:r>
    </w:p>
    <w:p w:rsidR="00B423E1" w:rsidRPr="000446C9" w:rsidRDefault="00FC484A" w:rsidP="000446C9">
      <w:pPr>
        <w:spacing w:before="120" w:after="120"/>
        <w:jc w:val="both"/>
        <w:rPr>
          <w:rFonts w:ascii="Times New Roman" w:hAnsi="Times New Roman" w:cs="Times New Roman"/>
          <w:b/>
          <w:sz w:val="24"/>
          <w:szCs w:val="24"/>
        </w:rPr>
      </w:pPr>
      <w:r w:rsidRPr="000446C9">
        <w:rPr>
          <w:rFonts w:ascii="Times New Roman" w:hAnsi="Times New Roman" w:cs="Times New Roman"/>
          <w:sz w:val="24"/>
          <w:szCs w:val="24"/>
        </w:rPr>
        <w:t> </w:t>
      </w:r>
      <w:r w:rsidR="00B423E1" w:rsidRPr="000446C9">
        <w:rPr>
          <w:rFonts w:ascii="Times New Roman" w:hAnsi="Times New Roman" w:cs="Times New Roman"/>
          <w:sz w:val="24"/>
          <w:szCs w:val="24"/>
        </w:rPr>
        <w:t xml:space="preserve"> </w:t>
      </w:r>
      <w:r w:rsidRPr="000446C9">
        <w:rPr>
          <w:rFonts w:ascii="Times New Roman" w:hAnsi="Times New Roman" w:cs="Times New Roman"/>
          <w:sz w:val="24"/>
          <w:szCs w:val="24"/>
        </w:rPr>
        <w:br/>
      </w:r>
      <w:r w:rsidR="00B423E1" w:rsidRPr="000446C9">
        <w:rPr>
          <w:rFonts w:ascii="Times New Roman" w:hAnsi="Times New Roman" w:cs="Times New Roman"/>
          <w:b/>
          <w:sz w:val="24"/>
          <w:szCs w:val="24"/>
        </w:rPr>
        <w:t xml:space="preserve"> TABLE NO 1 : Performance of Private  Sector  Banks during 2005-06 to 2009-10.</w:t>
      </w:r>
    </w:p>
    <w:tbl>
      <w:tblPr>
        <w:tblStyle w:val="TableGrid"/>
        <w:tblW w:w="0" w:type="auto"/>
        <w:tblLayout w:type="fixed"/>
        <w:tblLook w:val="04A0"/>
      </w:tblPr>
      <w:tblGrid>
        <w:gridCol w:w="2988"/>
        <w:gridCol w:w="1350"/>
        <w:gridCol w:w="1440"/>
        <w:gridCol w:w="1260"/>
        <w:gridCol w:w="1350"/>
        <w:gridCol w:w="1188"/>
      </w:tblGrid>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Items</w:t>
            </w:r>
          </w:p>
        </w:tc>
        <w:tc>
          <w:tcPr>
            <w:tcW w:w="135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2005-06</w:t>
            </w:r>
          </w:p>
        </w:tc>
        <w:tc>
          <w:tcPr>
            <w:tcW w:w="144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2006-07</w:t>
            </w:r>
          </w:p>
        </w:tc>
        <w:tc>
          <w:tcPr>
            <w:tcW w:w="126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2007-08</w:t>
            </w:r>
          </w:p>
        </w:tc>
        <w:tc>
          <w:tcPr>
            <w:tcW w:w="135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2008-09</w:t>
            </w:r>
          </w:p>
        </w:tc>
        <w:tc>
          <w:tcPr>
            <w:tcW w:w="1188"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2009-10</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No.of offices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6835</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7424</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8322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9236</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10387</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No. of employees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110505</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137284</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158823</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176339</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182284</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Business per employees(in lakh)</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670.94</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704.19</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751.42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743.85</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798.37</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Profit per employee(in lakh)</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4.50</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4.71</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6.00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6.16</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7.19</w:t>
            </w:r>
          </w:p>
        </w:tc>
      </w:tr>
      <w:tr w:rsidR="00B423E1" w:rsidRPr="000446C9" w:rsidTr="00DD0544">
        <w:trPr>
          <w:trHeight w:val="683"/>
        </w:trPr>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Capital and Reserves &amp; surplus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43823</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50473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91371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99669</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119984</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Deposits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428456</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551987</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675033</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736378</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822801</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Investments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180568</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214655</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278578</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306531</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354117</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Advances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312962</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414751</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518402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575328</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632494</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Interest income</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35223</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49567</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70991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85071</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82874</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Other income</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8091</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12313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17006</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17860</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20180</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Interest expended</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21507</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32856</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48495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56957</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51206</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Operating expenses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12038</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15320</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20267</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21779</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22676</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Cost of funds(CoF)</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4.35</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5.18</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6.13</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6.18</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4.83</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Return on advances adjusted to CoF</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4.41</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4.38</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4.88</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5.23</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5.06</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Wages as % to total expenses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12.15</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10.93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10.35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10.83</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12.76</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Return on assets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1.07</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1.02</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1.13</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1.13</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1.28</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CRAR</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12.42</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12.10</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14.34</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15.23</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17.45</w:t>
            </w:r>
          </w:p>
        </w:tc>
      </w:tr>
      <w:tr w:rsidR="00B423E1" w:rsidRPr="000446C9" w:rsidTr="00DD0544">
        <w:tc>
          <w:tcPr>
            <w:tcW w:w="29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Net NPA ratio</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1.01</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0.97</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1.09</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1.29</w:t>
            </w:r>
          </w:p>
        </w:tc>
        <w:tc>
          <w:tcPr>
            <w:tcW w:w="118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1.03</w:t>
            </w:r>
          </w:p>
        </w:tc>
      </w:tr>
    </w:tbl>
    <w:p w:rsidR="00B423E1" w:rsidRPr="000446C9" w:rsidRDefault="00B423E1" w:rsidP="000446C9">
      <w:pPr>
        <w:jc w:val="both"/>
        <w:rPr>
          <w:rFonts w:ascii="Times New Roman" w:hAnsi="Times New Roman" w:cs="Times New Roman"/>
          <w:b/>
          <w:sz w:val="24"/>
          <w:szCs w:val="24"/>
        </w:rPr>
      </w:pPr>
    </w:p>
    <w:p w:rsidR="00B423E1" w:rsidRPr="000446C9" w:rsidRDefault="00D06AA9" w:rsidP="000446C9">
      <w:pPr>
        <w:jc w:val="both"/>
        <w:rPr>
          <w:rFonts w:ascii="Times New Roman" w:hAnsi="Times New Roman" w:cs="Times New Roman"/>
          <w:b/>
          <w:sz w:val="24"/>
          <w:szCs w:val="24"/>
        </w:rPr>
      </w:pPr>
      <w:r w:rsidRPr="000446C9">
        <w:rPr>
          <w:rFonts w:ascii="Times New Roman" w:hAnsi="Times New Roman" w:cs="Times New Roman"/>
          <w:sz w:val="24"/>
          <w:szCs w:val="24"/>
        </w:rPr>
        <w:t xml:space="preserve">The Table 01 depicts the performance of private sector  banks operation during 2005-06 to 2009-10. The number of offices has been increased 6835 in 2005-06 to 10387 in 2010-11 with relative aspect to employees, business per employees( in lakhs), capital and reserve and surplus, deposits, investments and advances also.  </w:t>
      </w:r>
    </w:p>
    <w:p w:rsidR="00B423E1" w:rsidRPr="000446C9" w:rsidRDefault="00B423E1" w:rsidP="000446C9">
      <w:pPr>
        <w:jc w:val="both"/>
        <w:rPr>
          <w:rFonts w:ascii="Times New Roman" w:hAnsi="Times New Roman" w:cs="Times New Roman"/>
          <w:b/>
          <w:sz w:val="24"/>
          <w:szCs w:val="24"/>
        </w:rPr>
      </w:pPr>
      <w:r w:rsidRPr="000446C9">
        <w:rPr>
          <w:rFonts w:ascii="Times New Roman" w:hAnsi="Times New Roman" w:cs="Times New Roman"/>
          <w:b/>
          <w:sz w:val="24"/>
          <w:szCs w:val="24"/>
        </w:rPr>
        <w:lastRenderedPageBreak/>
        <w:t>TABLE NO 2 : Performance of Foreign  Banks during 2005-06 to 2009-10.</w:t>
      </w:r>
    </w:p>
    <w:tbl>
      <w:tblPr>
        <w:tblStyle w:val="TableGrid"/>
        <w:tblW w:w="0" w:type="auto"/>
        <w:tblLook w:val="04A0"/>
      </w:tblPr>
      <w:tblGrid>
        <w:gridCol w:w="3078"/>
        <w:gridCol w:w="1350"/>
        <w:gridCol w:w="1350"/>
        <w:gridCol w:w="1260"/>
        <w:gridCol w:w="1260"/>
        <w:gridCol w:w="1278"/>
      </w:tblGrid>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Items</w:t>
            </w:r>
          </w:p>
        </w:tc>
        <w:tc>
          <w:tcPr>
            <w:tcW w:w="135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2005-06</w:t>
            </w:r>
          </w:p>
        </w:tc>
        <w:tc>
          <w:tcPr>
            <w:tcW w:w="135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2006-07</w:t>
            </w:r>
          </w:p>
        </w:tc>
        <w:tc>
          <w:tcPr>
            <w:tcW w:w="126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2007-08</w:t>
            </w:r>
          </w:p>
        </w:tc>
        <w:tc>
          <w:tcPr>
            <w:tcW w:w="126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2008-09</w:t>
            </w:r>
          </w:p>
        </w:tc>
        <w:tc>
          <w:tcPr>
            <w:tcW w:w="1278"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2009-10</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No. of offices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259</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272</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279</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295</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310</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No. of employees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22117</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28426</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33969</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29582</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27742</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Business per employees(in lakh)</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955.41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974.77</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1037.10</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1282.74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1445.87</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Profit per employee(in lakh)</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13.87</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16.13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19.47</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25.39</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17.09</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Capital and Reserves &amp; surplus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24314</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33075</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49332</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59937</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69061</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Deposits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113745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150750</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191161</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214076</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237853</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Investments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52384</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71471</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98910</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130354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159286</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Advances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97562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126339</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161133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165385</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163260</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Interest income</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12291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17924</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24417</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30322</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26389</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Other income</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5371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7044</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10588</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14894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9951</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Interest expended</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5149</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7603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10604</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12819</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8938</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Operating expenses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5854</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7745</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10353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12298</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11102</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Cost of funds(CoF)</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3.63</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4.03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4.33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4.46</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2.82</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Return on advances adjusted to CoF</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4.90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5.74</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6.60</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8.14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7.17</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Wages as % to total expenses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18.22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20.08</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19.95</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19.44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23.48</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Return on assets</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2.08</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2.28</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2.09</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1.99</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1.26</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CRAR</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13.02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12.39</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13.08</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14.32</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17.25</w:t>
            </w:r>
          </w:p>
        </w:tc>
      </w:tr>
      <w:tr w:rsidR="00B423E1" w:rsidRPr="000446C9" w:rsidTr="00DD0544">
        <w:tc>
          <w:tcPr>
            <w:tcW w:w="30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Net NPA ratio</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0.83</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0.73</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0.77</w:t>
            </w:r>
          </w:p>
        </w:tc>
        <w:tc>
          <w:tcPr>
            <w:tcW w:w="126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1.81</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1.82</w:t>
            </w:r>
          </w:p>
        </w:tc>
      </w:tr>
    </w:tbl>
    <w:p w:rsidR="00B423E1" w:rsidRPr="000446C9" w:rsidRDefault="00B423E1" w:rsidP="000446C9">
      <w:pPr>
        <w:jc w:val="both"/>
        <w:rPr>
          <w:rFonts w:ascii="Times New Roman" w:hAnsi="Times New Roman" w:cs="Times New Roman"/>
          <w:b/>
          <w:sz w:val="24"/>
          <w:szCs w:val="24"/>
        </w:rPr>
      </w:pPr>
    </w:p>
    <w:p w:rsidR="00D06AA9" w:rsidRPr="000446C9" w:rsidRDefault="00D06AA9" w:rsidP="000446C9">
      <w:pPr>
        <w:jc w:val="both"/>
        <w:rPr>
          <w:rFonts w:ascii="Times New Roman" w:hAnsi="Times New Roman" w:cs="Times New Roman"/>
          <w:b/>
          <w:sz w:val="24"/>
          <w:szCs w:val="24"/>
        </w:rPr>
      </w:pPr>
      <w:r w:rsidRPr="000446C9">
        <w:rPr>
          <w:rFonts w:ascii="Times New Roman" w:hAnsi="Times New Roman" w:cs="Times New Roman"/>
          <w:sz w:val="24"/>
          <w:szCs w:val="24"/>
        </w:rPr>
        <w:t xml:space="preserve">The Table </w:t>
      </w:r>
      <w:r w:rsidR="002D0E8B" w:rsidRPr="000446C9">
        <w:rPr>
          <w:rFonts w:ascii="Times New Roman" w:hAnsi="Times New Roman" w:cs="Times New Roman"/>
          <w:sz w:val="24"/>
          <w:szCs w:val="24"/>
        </w:rPr>
        <w:t>02</w:t>
      </w:r>
      <w:r w:rsidRPr="000446C9">
        <w:rPr>
          <w:rFonts w:ascii="Times New Roman" w:hAnsi="Times New Roman" w:cs="Times New Roman"/>
          <w:sz w:val="24"/>
          <w:szCs w:val="24"/>
        </w:rPr>
        <w:t xml:space="preserve"> depicts the performance of  foreign   banks operation during 2005-06 to 2009-10. The number of offices has been increased during 2010-11 with relative aspect to employees, business per employees( in lakhs), capital and reserve and surplus, deposits, investments and advances also.  </w:t>
      </w:r>
    </w:p>
    <w:p w:rsidR="00B423E1" w:rsidRPr="000446C9" w:rsidRDefault="00B423E1" w:rsidP="000446C9">
      <w:pPr>
        <w:jc w:val="both"/>
        <w:rPr>
          <w:rFonts w:ascii="Times New Roman" w:hAnsi="Times New Roman" w:cs="Times New Roman"/>
          <w:b/>
          <w:sz w:val="24"/>
          <w:szCs w:val="24"/>
        </w:rPr>
      </w:pPr>
      <w:r w:rsidRPr="000446C9">
        <w:rPr>
          <w:rFonts w:ascii="Times New Roman" w:hAnsi="Times New Roman" w:cs="Times New Roman"/>
          <w:b/>
          <w:sz w:val="24"/>
          <w:szCs w:val="24"/>
        </w:rPr>
        <w:t>TABLE NO 3 : Performance of Public  Sector  Banks during 2005-06 to 2009-10.</w:t>
      </w:r>
    </w:p>
    <w:tbl>
      <w:tblPr>
        <w:tblStyle w:val="TableGrid"/>
        <w:tblW w:w="0" w:type="auto"/>
        <w:tblLook w:val="04A0"/>
      </w:tblPr>
      <w:tblGrid>
        <w:gridCol w:w="2718"/>
        <w:gridCol w:w="1440"/>
        <w:gridCol w:w="1440"/>
        <w:gridCol w:w="1350"/>
        <w:gridCol w:w="1350"/>
        <w:gridCol w:w="1278"/>
      </w:tblGrid>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Items</w:t>
            </w:r>
          </w:p>
        </w:tc>
        <w:tc>
          <w:tcPr>
            <w:tcW w:w="144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2005-06</w:t>
            </w:r>
          </w:p>
        </w:tc>
        <w:tc>
          <w:tcPr>
            <w:tcW w:w="144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2006-07</w:t>
            </w:r>
          </w:p>
        </w:tc>
        <w:tc>
          <w:tcPr>
            <w:tcW w:w="135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2007-08</w:t>
            </w:r>
          </w:p>
        </w:tc>
        <w:tc>
          <w:tcPr>
            <w:tcW w:w="1350"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2008-09</w:t>
            </w:r>
          </w:p>
        </w:tc>
        <w:tc>
          <w:tcPr>
            <w:tcW w:w="1278" w:type="dxa"/>
          </w:tcPr>
          <w:p w:rsidR="00B423E1" w:rsidRPr="000446C9" w:rsidRDefault="00B423E1" w:rsidP="000446C9">
            <w:pPr>
              <w:spacing w:line="276" w:lineRule="auto"/>
              <w:jc w:val="both"/>
              <w:rPr>
                <w:rFonts w:ascii="Times New Roman" w:hAnsi="Times New Roman" w:cs="Times New Roman"/>
                <w:b/>
                <w:sz w:val="24"/>
                <w:szCs w:val="24"/>
              </w:rPr>
            </w:pPr>
            <w:r w:rsidRPr="000446C9">
              <w:rPr>
                <w:rFonts w:ascii="Times New Roman" w:hAnsi="Times New Roman" w:cs="Times New Roman"/>
                <w:b/>
                <w:sz w:val="24"/>
                <w:szCs w:val="24"/>
              </w:rPr>
              <w:t>2009-10</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No. of offices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50168</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52104</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55080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57732</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61301</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No. of employees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744333</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728878</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708429</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731524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734594</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Business per employees(in lakh)</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366.61</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471.18</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600.10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734.35</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870.29</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Profit per employee(in lakh)</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2.22</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2.76</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3.75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4.70</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5.34</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 xml:space="preserve">Capital and Reserves &amp; </w:t>
            </w:r>
            <w:r w:rsidRPr="000446C9">
              <w:rPr>
                <w:rFonts w:ascii="Times New Roman" w:hAnsi="Times New Roman" w:cs="Times New Roman"/>
                <w:sz w:val="24"/>
                <w:szCs w:val="24"/>
              </w:rPr>
              <w:lastRenderedPageBreak/>
              <w:t>surplus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lastRenderedPageBreak/>
              <w:t>115044</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135630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174785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208342</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241001</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lastRenderedPageBreak/>
              <w:t>Deposits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1622481</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1994200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2453868</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3112747</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3691802</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Investments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633557</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664856</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799841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1012666</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1205783</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Advances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1106288</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1440146</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1797401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2259212</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2701300</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Interest income</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137874</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164185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213075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273088</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306488</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Other income</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21905</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23684</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32797</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42466</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48388</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Interest expended</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80504</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101960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148902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193447</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211940</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Operating expenses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41308</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43255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46663</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55504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65991</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Cost of funds(CoF)</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4.46</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4.79</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5.85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6.04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5.34</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Return on advances adjusted to CoF</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3.55</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3.90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3.67</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4.04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3.76</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Wages as % to total expenses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22.48</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19.15</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14.66</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13.88</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14.76</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Return on assets</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0.88</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0.92</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1.00</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1.03</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0.97</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CRAR</w:t>
            </w:r>
          </w:p>
        </w:tc>
        <w:tc>
          <w:tcPr>
            <w:tcW w:w="1440" w:type="dxa"/>
          </w:tcPr>
          <w:p w:rsidR="00B423E1" w:rsidRPr="000446C9" w:rsidRDefault="00B423E1" w:rsidP="000446C9">
            <w:pPr>
              <w:tabs>
                <w:tab w:val="left" w:pos="1140"/>
              </w:tabs>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12.17</w:t>
            </w:r>
            <w:r w:rsidRPr="000446C9">
              <w:rPr>
                <w:rFonts w:ascii="Times New Roman" w:hAnsi="Times New Roman" w:cs="Times New Roman"/>
                <w:sz w:val="24"/>
                <w:szCs w:val="24"/>
              </w:rPr>
              <w:tab/>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12.36</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12.51</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13.49</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13.32</w:t>
            </w:r>
          </w:p>
        </w:tc>
      </w:tr>
      <w:tr w:rsidR="00B423E1" w:rsidRPr="000446C9" w:rsidTr="00DD0544">
        <w:tc>
          <w:tcPr>
            <w:tcW w:w="271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Net NPA ratio</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1.32</w:t>
            </w:r>
          </w:p>
        </w:tc>
        <w:tc>
          <w:tcPr>
            <w:tcW w:w="144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1.06</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0.99</w:t>
            </w:r>
          </w:p>
        </w:tc>
        <w:tc>
          <w:tcPr>
            <w:tcW w:w="1350"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0.94</w:t>
            </w:r>
          </w:p>
        </w:tc>
        <w:tc>
          <w:tcPr>
            <w:tcW w:w="1278" w:type="dxa"/>
          </w:tcPr>
          <w:p w:rsidR="00B423E1" w:rsidRPr="000446C9" w:rsidRDefault="00B423E1" w:rsidP="000446C9">
            <w:pPr>
              <w:spacing w:line="276" w:lineRule="auto"/>
              <w:jc w:val="both"/>
              <w:rPr>
                <w:rFonts w:ascii="Times New Roman" w:hAnsi="Times New Roman" w:cs="Times New Roman"/>
                <w:sz w:val="24"/>
                <w:szCs w:val="24"/>
              </w:rPr>
            </w:pPr>
            <w:r w:rsidRPr="000446C9">
              <w:rPr>
                <w:rFonts w:ascii="Times New Roman" w:hAnsi="Times New Roman" w:cs="Times New Roman"/>
                <w:sz w:val="24"/>
                <w:szCs w:val="24"/>
              </w:rPr>
              <w:t>1.10</w:t>
            </w:r>
          </w:p>
        </w:tc>
      </w:tr>
    </w:tbl>
    <w:p w:rsidR="00B423E1" w:rsidRPr="000446C9" w:rsidRDefault="00B423E1" w:rsidP="000446C9">
      <w:pPr>
        <w:jc w:val="both"/>
        <w:rPr>
          <w:rFonts w:ascii="Times New Roman" w:hAnsi="Times New Roman" w:cs="Times New Roman"/>
          <w:b/>
          <w:sz w:val="24"/>
          <w:szCs w:val="24"/>
        </w:rPr>
      </w:pPr>
    </w:p>
    <w:p w:rsidR="0016365C" w:rsidRPr="000446C9" w:rsidRDefault="0016365C" w:rsidP="000446C9">
      <w:pPr>
        <w:jc w:val="both"/>
        <w:rPr>
          <w:rFonts w:ascii="Times New Roman" w:hAnsi="Times New Roman" w:cs="Times New Roman"/>
          <w:b/>
          <w:sz w:val="24"/>
          <w:szCs w:val="24"/>
        </w:rPr>
      </w:pPr>
      <w:r w:rsidRPr="000446C9">
        <w:rPr>
          <w:rFonts w:ascii="Times New Roman" w:hAnsi="Times New Roman" w:cs="Times New Roman"/>
          <w:sz w:val="24"/>
          <w:szCs w:val="24"/>
        </w:rPr>
        <w:t xml:space="preserve">The Table 023 depicts the performance of  public sector   banks operation during 2005-06 to 2009-10. The number of offices has been increased  during 2010-11 with relative aspect to employees, business per employees( in lakhs), capital and reserve and surplus, deposits, investments and advances also. Further net NPA position has increased in the year 2009-10.  </w:t>
      </w:r>
    </w:p>
    <w:p w:rsidR="00B423E1" w:rsidRPr="000446C9" w:rsidRDefault="005D2D00" w:rsidP="000446C9">
      <w:pPr>
        <w:spacing w:before="120" w:after="120"/>
        <w:jc w:val="both"/>
        <w:rPr>
          <w:rFonts w:ascii="Times New Roman" w:hAnsi="Times New Roman" w:cs="Times New Roman"/>
          <w:b/>
          <w:sz w:val="24"/>
          <w:szCs w:val="24"/>
        </w:rPr>
      </w:pPr>
      <w:r w:rsidRPr="000446C9">
        <w:rPr>
          <w:rFonts w:ascii="Times New Roman" w:hAnsi="Times New Roman" w:cs="Times New Roman"/>
          <w:b/>
          <w:sz w:val="24"/>
          <w:szCs w:val="24"/>
        </w:rPr>
        <w:t>NEXT-GENERATION FINANCIAL SECTOR REFORMS</w:t>
      </w:r>
    </w:p>
    <w:p w:rsidR="00176CDC" w:rsidRPr="000446C9" w:rsidRDefault="00176CDC" w:rsidP="000446C9">
      <w:pPr>
        <w:jc w:val="both"/>
        <w:rPr>
          <w:rFonts w:ascii="Times New Roman" w:hAnsi="Times New Roman" w:cs="Times New Roman"/>
          <w:sz w:val="24"/>
          <w:szCs w:val="24"/>
        </w:rPr>
      </w:pPr>
      <w:r w:rsidRPr="000446C9">
        <w:rPr>
          <w:rFonts w:ascii="Times New Roman" w:hAnsi="Times New Roman" w:cs="Times New Roman"/>
          <w:sz w:val="24"/>
          <w:szCs w:val="24"/>
        </w:rPr>
        <w:t>The Planning Commission had in August 2007 constituted this committee, which was headed by Mr Raghuram Rajan, Professor, Graduate School of Business, University of Chicago. The Raghuram Rajan committee, whose report was titled ‘A Hundred Small Steps’, was tasked with proposing the next generation of reforms for the Indian financial sector. Though India has 87 commercial banks, an estimated 40% of the adult population does not have access to banking services. The country has 87 scheduled commercial banks with deposits of Rs.71.6 trillion on 31 May. Of this, 26 are public sector banks, which control over 70% of India’s banking sector, 20 are private banks and 41 are foreign banks. The five topics the RBI plans are: (a) Expanding the scope for foreign institutional investors (FII) investment in sovereign debt,(b) Financial market regulations in the context of financial stability,(c) Branch authorisation,(d) Further initiatives in corporate bond market, and Debt management office. Further, it  includes consolidation of some large banks to create two-three global ones, the setting up of smaller banks, separate licences for specific banking operations instead of a single universal one, continuous licensing for new banks and conversion of some urban cooperative banks into full-fledged commercial banks, according to persons familiar with the development who did not want to be named.</w:t>
      </w:r>
    </w:p>
    <w:p w:rsidR="004943FB" w:rsidRPr="000446C9" w:rsidRDefault="00176CDC" w:rsidP="000446C9">
      <w:pPr>
        <w:jc w:val="both"/>
        <w:rPr>
          <w:rFonts w:ascii="Times New Roman" w:hAnsi="Times New Roman" w:cs="Times New Roman"/>
          <w:b/>
          <w:sz w:val="24"/>
          <w:szCs w:val="24"/>
        </w:rPr>
      </w:pPr>
      <w:r w:rsidRPr="000446C9">
        <w:rPr>
          <w:rFonts w:ascii="Times New Roman" w:hAnsi="Times New Roman" w:cs="Times New Roman"/>
          <w:b/>
          <w:sz w:val="24"/>
          <w:szCs w:val="24"/>
        </w:rPr>
        <w:t>NEW BANKING LICENSES AND GUIDELINES</w:t>
      </w:r>
    </w:p>
    <w:p w:rsidR="00176CDC" w:rsidRPr="000446C9" w:rsidRDefault="00B727D6" w:rsidP="000446C9">
      <w:pPr>
        <w:jc w:val="both"/>
        <w:rPr>
          <w:rFonts w:ascii="Times New Roman" w:hAnsi="Times New Roman" w:cs="Times New Roman"/>
          <w:sz w:val="24"/>
          <w:szCs w:val="24"/>
        </w:rPr>
      </w:pPr>
      <w:r w:rsidRPr="000446C9">
        <w:rPr>
          <w:rStyle w:val="apple-converted-space"/>
          <w:rFonts w:ascii="Times New Roman" w:hAnsi="Times New Roman" w:cs="Times New Roman"/>
          <w:color w:val="000000"/>
          <w:sz w:val="24"/>
          <w:szCs w:val="24"/>
          <w:shd w:val="clear" w:color="auto" w:fill="FFFFFF"/>
        </w:rPr>
        <w:lastRenderedPageBreak/>
        <w:t> </w:t>
      </w:r>
      <w:r w:rsidRPr="000446C9">
        <w:rPr>
          <w:rFonts w:ascii="Times New Roman" w:hAnsi="Times New Roman" w:cs="Times New Roman"/>
          <w:sz w:val="24"/>
          <w:szCs w:val="24"/>
        </w:rPr>
        <w:t>The rush to apply for bank </w:t>
      </w:r>
      <w:hyperlink r:id="rId9" w:tgtFrame="_blank" w:history="1">
        <w:r w:rsidRPr="000446C9">
          <w:rPr>
            <w:rFonts w:ascii="Times New Roman" w:hAnsi="Times New Roman" w:cs="Times New Roman"/>
            <w:sz w:val="24"/>
            <w:szCs w:val="24"/>
          </w:rPr>
          <w:t>licences</w:t>
        </w:r>
      </w:hyperlink>
      <w:r w:rsidRPr="000446C9">
        <w:rPr>
          <w:rFonts w:ascii="Times New Roman" w:hAnsi="Times New Roman" w:cs="Times New Roman"/>
          <w:sz w:val="24"/>
          <w:szCs w:val="24"/>
        </w:rPr>
        <w:t xml:space="preserve"> when the window of opportunity opened </w:t>
      </w:r>
      <w:r w:rsidR="001E2AAF" w:rsidRPr="000446C9">
        <w:rPr>
          <w:rFonts w:ascii="Times New Roman" w:hAnsi="Times New Roman" w:cs="Times New Roman"/>
          <w:sz w:val="24"/>
          <w:szCs w:val="24"/>
        </w:rPr>
        <w:t>a</w:t>
      </w:r>
      <w:r w:rsidRPr="000446C9">
        <w:rPr>
          <w:rFonts w:ascii="Times New Roman" w:hAnsi="Times New Roman" w:cs="Times New Roman"/>
          <w:sz w:val="24"/>
          <w:szCs w:val="24"/>
        </w:rPr>
        <w:t xml:space="preserve"> year after a decade. Corporations, gold loan companies, financial services conglomerates, real estate tycoons, grassroots activists and quasi-public sector organisations, all created war rooms to meet the stiff deadline of July 1</w:t>
      </w:r>
      <w:r w:rsidR="001E2AAF" w:rsidRPr="000446C9">
        <w:rPr>
          <w:rFonts w:ascii="Times New Roman" w:hAnsi="Times New Roman" w:cs="Times New Roman"/>
          <w:sz w:val="24"/>
          <w:szCs w:val="24"/>
        </w:rPr>
        <w:t>, 2013</w:t>
      </w:r>
      <w:r w:rsidRPr="000446C9">
        <w:rPr>
          <w:rFonts w:ascii="Times New Roman" w:hAnsi="Times New Roman" w:cs="Times New Roman"/>
          <w:sz w:val="24"/>
          <w:szCs w:val="24"/>
        </w:rPr>
        <w:t>. After some confusion, onepost-facto addition and two withdrawals, 25 applicants stay in the fray. Against the backdrop of the withdrawal of the application by </w:t>
      </w:r>
      <w:hyperlink r:id="rId10" w:tgtFrame="_blank" w:history="1">
        <w:r w:rsidRPr="000446C9">
          <w:rPr>
            <w:rFonts w:ascii="Times New Roman" w:hAnsi="Times New Roman" w:cs="Times New Roman"/>
            <w:sz w:val="24"/>
            <w:szCs w:val="24"/>
          </w:rPr>
          <w:t>Tata Sons</w:t>
        </w:r>
      </w:hyperlink>
      <w:r w:rsidRPr="000446C9">
        <w:rPr>
          <w:rFonts w:ascii="Times New Roman" w:hAnsi="Times New Roman" w:cs="Times New Roman"/>
          <w:sz w:val="24"/>
          <w:szCs w:val="24"/>
        </w:rPr>
        <w:t> and as the promised delivery date for the first in-principle approvals approaches at the turn of the calendar, the following questions are likely to play on the minds of applicants. New banks will help in improving the productivity of the banking sector, which has stagnated over the last few years. In addition, if the right candidates are selected, they will be able to bring in significant amounts of capital to not only meet Basel III requirements but also to help in growing the books.  RBI is currently scrutinising various aspects of applications made by the 25 entities for new bank licences expected to be given by the end of March, 2014.</w:t>
      </w:r>
    </w:p>
    <w:p w:rsidR="001E2AAF" w:rsidRPr="000446C9" w:rsidRDefault="001E2AAF" w:rsidP="000446C9">
      <w:pPr>
        <w:jc w:val="both"/>
        <w:rPr>
          <w:rFonts w:ascii="Times New Roman" w:hAnsi="Times New Roman" w:cs="Times New Roman"/>
          <w:b/>
          <w:sz w:val="24"/>
          <w:szCs w:val="24"/>
        </w:rPr>
      </w:pPr>
      <w:r w:rsidRPr="000446C9">
        <w:rPr>
          <w:rFonts w:ascii="Times New Roman" w:hAnsi="Times New Roman" w:cs="Times New Roman"/>
          <w:b/>
          <w:sz w:val="24"/>
          <w:szCs w:val="24"/>
        </w:rPr>
        <w:t>CONCLUSION</w:t>
      </w:r>
    </w:p>
    <w:p w:rsidR="001E2AAF" w:rsidRPr="000446C9" w:rsidRDefault="001E2AAF" w:rsidP="000446C9">
      <w:pPr>
        <w:jc w:val="both"/>
        <w:rPr>
          <w:rFonts w:ascii="Times New Roman" w:hAnsi="Times New Roman" w:cs="Times New Roman"/>
          <w:sz w:val="24"/>
          <w:szCs w:val="24"/>
        </w:rPr>
      </w:pPr>
      <w:r w:rsidRPr="000446C9">
        <w:rPr>
          <w:rFonts w:ascii="Times New Roman" w:hAnsi="Times New Roman" w:cs="Times New Roman"/>
          <w:sz w:val="24"/>
          <w:szCs w:val="24"/>
        </w:rPr>
        <w:t xml:space="preserve">licences were issued to two banks like </w:t>
      </w:r>
      <w:hyperlink r:id="rId11" w:history="1">
        <w:r w:rsidRPr="000446C9">
          <w:rPr>
            <w:rFonts w:ascii="Times New Roman" w:hAnsi="Times New Roman" w:cs="Times New Roman"/>
            <w:sz w:val="24"/>
            <w:szCs w:val="24"/>
          </w:rPr>
          <w:t>Yes Bank Ltd</w:t>
        </w:r>
      </w:hyperlink>
      <w:r w:rsidRPr="000446C9">
        <w:rPr>
          <w:rFonts w:ascii="Times New Roman" w:hAnsi="Times New Roman" w:cs="Times New Roman"/>
          <w:sz w:val="24"/>
          <w:szCs w:val="24"/>
        </w:rPr>
        <w:t> and </w:t>
      </w:r>
      <w:hyperlink r:id="rId12" w:history="1">
        <w:r w:rsidRPr="000446C9">
          <w:rPr>
            <w:rFonts w:ascii="Times New Roman" w:hAnsi="Times New Roman" w:cs="Times New Roman"/>
            <w:sz w:val="24"/>
            <w:szCs w:val="24"/>
          </w:rPr>
          <w:t>Kotak Mahindra Bank Ltd</w:t>
        </w:r>
      </w:hyperlink>
      <w:r w:rsidRPr="000446C9">
        <w:rPr>
          <w:rFonts w:ascii="Times New Roman" w:hAnsi="Times New Roman" w:cs="Times New Roman"/>
          <w:sz w:val="24"/>
          <w:szCs w:val="24"/>
        </w:rPr>
        <w:t xml:space="preserve"> in 2004. In the past, RBI’s stated objective behind giving licences to new banks was to introduce competition in the sector, largely dominated by government-owned banks. This time, the prime focus is to promote so-called financial inclusion, or increasing the reach of financial services to the unbanked population. RBI would open up the sector and issue fresh licences with the objective of spreading banking services wider in a nation where roughly 50 percent  of the adult population does not have access to them.  RBI issued the guidelines on new banking licence in February 2013 and set a 1st July deadline for applications. RBI is currently scrutinising various aspects of applications made by the 25 entities for new bank licences expected to be given by the end of March, 2014.</w:t>
      </w:r>
    </w:p>
    <w:p w:rsidR="001E2AAF" w:rsidRPr="000446C9" w:rsidRDefault="001E2AAF" w:rsidP="000446C9">
      <w:pPr>
        <w:jc w:val="both"/>
        <w:rPr>
          <w:rFonts w:ascii="Times New Roman" w:hAnsi="Times New Roman" w:cs="Times New Roman"/>
          <w:b/>
          <w:sz w:val="24"/>
          <w:szCs w:val="24"/>
        </w:rPr>
      </w:pPr>
    </w:p>
    <w:p w:rsidR="001E2AAF" w:rsidRPr="000446C9" w:rsidRDefault="001E2AAF" w:rsidP="000446C9">
      <w:pPr>
        <w:jc w:val="both"/>
        <w:rPr>
          <w:rFonts w:ascii="Times New Roman" w:hAnsi="Times New Roman" w:cs="Times New Roman"/>
          <w:b/>
          <w:sz w:val="24"/>
          <w:szCs w:val="24"/>
        </w:rPr>
      </w:pPr>
      <w:r w:rsidRPr="000446C9">
        <w:rPr>
          <w:rFonts w:ascii="Times New Roman" w:hAnsi="Times New Roman" w:cs="Times New Roman"/>
          <w:b/>
          <w:sz w:val="24"/>
          <w:szCs w:val="24"/>
        </w:rPr>
        <w:t>REFERNCES</w:t>
      </w:r>
    </w:p>
    <w:p w:rsidR="001E2AAF" w:rsidRPr="000446C9" w:rsidRDefault="001E2AAF" w:rsidP="000446C9">
      <w:pPr>
        <w:pStyle w:val="ListParagraph"/>
        <w:numPr>
          <w:ilvl w:val="0"/>
          <w:numId w:val="4"/>
        </w:numPr>
        <w:spacing w:before="120" w:after="120"/>
        <w:jc w:val="both"/>
        <w:rPr>
          <w:rFonts w:ascii="Times New Roman" w:hAnsi="Times New Roman" w:cs="Times New Roman"/>
          <w:sz w:val="24"/>
          <w:szCs w:val="24"/>
        </w:rPr>
      </w:pPr>
      <w:r w:rsidRPr="000446C9">
        <w:rPr>
          <w:rFonts w:ascii="Times New Roman" w:hAnsi="Times New Roman" w:cs="Times New Roman"/>
          <w:sz w:val="24"/>
          <w:szCs w:val="24"/>
        </w:rPr>
        <w:t>Sinha, Siddharth. (2012) “Public and Private sector banks: Convergence in performance”, Economic and Political weekly, May 19, Vol.XLVII, No, 20, PP.25-30).</w:t>
      </w:r>
    </w:p>
    <w:p w:rsidR="001E2AAF" w:rsidRPr="000446C9" w:rsidRDefault="001E2AAF" w:rsidP="000446C9">
      <w:pPr>
        <w:pStyle w:val="ListParagraph"/>
        <w:numPr>
          <w:ilvl w:val="0"/>
          <w:numId w:val="4"/>
        </w:numPr>
        <w:spacing w:before="120" w:after="120"/>
        <w:jc w:val="both"/>
        <w:rPr>
          <w:rFonts w:ascii="Times New Roman" w:hAnsi="Times New Roman" w:cs="Times New Roman"/>
          <w:sz w:val="24"/>
          <w:szCs w:val="24"/>
        </w:rPr>
      </w:pPr>
      <w:r w:rsidRPr="000446C9">
        <w:rPr>
          <w:rFonts w:ascii="Times New Roman" w:hAnsi="Times New Roman" w:cs="Times New Roman"/>
          <w:sz w:val="24"/>
          <w:szCs w:val="24"/>
        </w:rPr>
        <w:t>Varadharajan, p. and Vikkraman, p. (2011) “Efficiency of Private Sector banks in India (2005-10), NIET-Journal of management, Vol.III, Issue-1, Summer-2011, ISSN 0975-7643, PP. 3-14).</w:t>
      </w:r>
    </w:p>
    <w:p w:rsidR="001E2AAF" w:rsidRPr="000446C9" w:rsidRDefault="001E2AAF" w:rsidP="000446C9">
      <w:pPr>
        <w:pStyle w:val="ListParagraph"/>
        <w:numPr>
          <w:ilvl w:val="0"/>
          <w:numId w:val="4"/>
        </w:numPr>
        <w:spacing w:before="120" w:after="120"/>
        <w:jc w:val="both"/>
        <w:rPr>
          <w:rFonts w:ascii="Times New Roman" w:hAnsi="Times New Roman" w:cs="Times New Roman"/>
          <w:sz w:val="24"/>
          <w:szCs w:val="24"/>
        </w:rPr>
      </w:pPr>
      <w:r w:rsidRPr="000446C9">
        <w:rPr>
          <w:rFonts w:ascii="Times New Roman" w:hAnsi="Times New Roman" w:cs="Times New Roman"/>
          <w:sz w:val="24"/>
          <w:szCs w:val="24"/>
        </w:rPr>
        <w:t>Singh, D and Kohli, G. (2006) “Evaluation of private sector banks in India; A SWOT analysis”, Journal of Management Research, Vol 6, no.2, August 2006, PP. 84-101).</w:t>
      </w:r>
    </w:p>
    <w:p w:rsidR="001E2AAF" w:rsidRPr="000446C9" w:rsidRDefault="001E2AAF" w:rsidP="000446C9">
      <w:pPr>
        <w:pStyle w:val="ListParagraph"/>
        <w:numPr>
          <w:ilvl w:val="0"/>
          <w:numId w:val="4"/>
        </w:numPr>
        <w:jc w:val="both"/>
        <w:rPr>
          <w:rFonts w:ascii="Times New Roman" w:hAnsi="Times New Roman" w:cs="Times New Roman"/>
          <w:sz w:val="24"/>
          <w:szCs w:val="24"/>
        </w:rPr>
      </w:pPr>
      <w:r w:rsidRPr="000446C9">
        <w:rPr>
          <w:rFonts w:ascii="Times New Roman" w:hAnsi="Times New Roman" w:cs="Times New Roman"/>
          <w:sz w:val="24"/>
          <w:szCs w:val="24"/>
        </w:rPr>
        <w:t>Bhaarathi,N.(2010)” Profitability , performance of new private sector banks-An empirical study”, vo.4, No.3, Indian journal of finance, March, 2010 issue.</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eastAsia="Times New Roman" w:hAnsi="Times New Roman" w:cs="Times New Roman"/>
          <w:sz w:val="24"/>
          <w:szCs w:val="24"/>
        </w:rPr>
        <w:t>Ramachandran, A. and Kavitha,N.(2008)”Financial performance of new private banks with other bank groups in the banking industry”,Vol2,No.1, Auguest,2008 issue.</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lastRenderedPageBreak/>
        <w:t>Verma, R. and Bodla, B.S.(2011) “ Performance of scheduled commercial banks in India :                             An application of DEA”, Decision, Vol.38, No.1, April, 2011, PP. 06-76.</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Singh; M.K and Sharma, S.(2012) “ Impact of Banking Reforms on foreign Banks in India, International Journal Research, Vol.1,No.2, January 2012,PP.24-29, ISSN : 2231-6124</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Wanniarachchige ; M.K and Ritsumeikan, Y.S.(2011) “ How does ownership affect bank performance ? – The Case of Indian Commercial banks” , International Business and Economics Research Journal, Vol.10, No.3, march 2011, PP.71-81.</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 xml:space="preserve">Mahapatra, D. M. and Mohanty, A.K. (2007), Financing of Small and Medium Enterprises in India, Serials Publications, New Delhi. </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 xml:space="preserve">Mahapatra, D. M. and Mohanty, A.K. (2010), Management of NPAs and Indian Banking  Sector, Global Research Publications, New Delhi. </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Dash,M.and Mohanty;A.K. (2010)” Status of Asset Composition of Commercial Banks in India: A Review” Journal of Engineering,ICT and Management, July2010-December2010,Vol1, No.1,pp.7-18, ISSN 2230-9756.</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Mahapatra;D.M. and  Mohanty;A.K. (2010)”Indian Banking Sector : Literature Review” NIFM Journal of Public Financial  Management, July2010-December2010,Vol1, No.2,pp.37-58, RNI Registration No. HARENG/2009/32268.</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Mahapatra;D.M. and  Mohanty;A.K.  (2010) “Non-Performing Assets(NPAs) of Foreign Banks in India in the Post Reform Era : An analytical Study” Mangalmay Journal of Management &amp; Technology, in collaboration with Lincoln University of  The Commonwealth system of Higher Education, Pennsylvania, USA,  vol.4, No.1, January-June Issue 2010, pp.13-28.</w:t>
      </w:r>
    </w:p>
    <w:p w:rsidR="001E2AAF" w:rsidRPr="000446C9" w:rsidRDefault="001E2AAF" w:rsidP="000446C9">
      <w:pPr>
        <w:pStyle w:val="ListParagraph"/>
        <w:numPr>
          <w:ilvl w:val="0"/>
          <w:numId w:val="4"/>
        </w:numPr>
        <w:jc w:val="both"/>
        <w:rPr>
          <w:rFonts w:ascii="Times New Roman" w:hAnsi="Times New Roman" w:cs="Times New Roman"/>
          <w:spacing w:val="-2"/>
          <w:sz w:val="24"/>
          <w:szCs w:val="24"/>
        </w:rPr>
      </w:pPr>
      <w:r w:rsidRPr="000446C9">
        <w:rPr>
          <w:rFonts w:ascii="Times New Roman" w:hAnsi="Times New Roman" w:cs="Times New Roman"/>
          <w:spacing w:val="-2"/>
          <w:sz w:val="24"/>
          <w:szCs w:val="24"/>
        </w:rPr>
        <w:t>Mahaapatra;D.M. and  Mohanty;A.K. (2011)” Problems and Challenges of Public Sector Banks (PSBs) in India During Globalized Era”,LACHOO Management Journal, Volume 2, Number 2, July – December 2011,Pp.89-101,ISSN 2231-0118.</w:t>
      </w:r>
    </w:p>
    <w:sectPr w:rsidR="001E2AAF" w:rsidRPr="000446C9" w:rsidSect="00A10D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5BB" w:rsidRDefault="009A15BB" w:rsidP="00650BB8">
      <w:pPr>
        <w:spacing w:after="0" w:line="240" w:lineRule="auto"/>
      </w:pPr>
      <w:r>
        <w:separator/>
      </w:r>
    </w:p>
  </w:endnote>
  <w:endnote w:type="continuationSeparator" w:id="1">
    <w:p w:rsidR="009A15BB" w:rsidRDefault="009A15BB" w:rsidP="00650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5BB" w:rsidRDefault="009A15BB" w:rsidP="00650BB8">
      <w:pPr>
        <w:spacing w:after="0" w:line="240" w:lineRule="auto"/>
      </w:pPr>
      <w:r>
        <w:separator/>
      </w:r>
    </w:p>
  </w:footnote>
  <w:footnote w:type="continuationSeparator" w:id="1">
    <w:p w:rsidR="009A15BB" w:rsidRDefault="009A15BB" w:rsidP="00650BB8">
      <w:pPr>
        <w:spacing w:after="0" w:line="240" w:lineRule="auto"/>
      </w:pPr>
      <w:r>
        <w:continuationSeparator/>
      </w:r>
    </w:p>
  </w:footnote>
  <w:footnote w:id="2">
    <w:p w:rsidR="00B662D9" w:rsidRPr="0052622B" w:rsidRDefault="00650BB8" w:rsidP="00B662D9">
      <w:pPr>
        <w:pStyle w:val="FootnoteText"/>
        <w:rPr>
          <w:rFonts w:ascii="Times New Roman" w:hAnsi="Times New Roman"/>
          <w:b/>
          <w:i/>
          <w:sz w:val="24"/>
          <w:szCs w:val="24"/>
          <w:lang w:val="en-US"/>
        </w:rPr>
      </w:pPr>
      <w:r>
        <w:rPr>
          <w:rStyle w:val="FootnoteReference"/>
        </w:rPr>
        <w:footnoteRef/>
      </w:r>
      <w:r>
        <w:t xml:space="preserve"> </w:t>
      </w:r>
      <w:r w:rsidRPr="0052622B">
        <w:rPr>
          <w:rFonts w:ascii="Times New Roman" w:hAnsi="Times New Roman"/>
          <w:b/>
          <w:i/>
          <w:sz w:val="24"/>
          <w:szCs w:val="24"/>
        </w:rPr>
        <w:t xml:space="preserve"> P</w:t>
      </w:r>
      <w:r w:rsidR="00A62CF4">
        <w:rPr>
          <w:rFonts w:ascii="Times New Roman" w:hAnsi="Times New Roman"/>
          <w:b/>
          <w:i/>
          <w:sz w:val="24"/>
          <w:szCs w:val="24"/>
        </w:rPr>
        <w:t>h</w:t>
      </w:r>
      <w:r w:rsidR="00B662D9">
        <w:rPr>
          <w:rFonts w:ascii="Times New Roman" w:hAnsi="Times New Roman"/>
          <w:b/>
          <w:i/>
          <w:sz w:val="24"/>
          <w:szCs w:val="24"/>
        </w:rPr>
        <w:t>D Scholar,</w:t>
      </w:r>
      <w:r w:rsidR="00B662D9" w:rsidRPr="00B662D9">
        <w:rPr>
          <w:rFonts w:ascii="Times New Roman" w:hAnsi="Times New Roman"/>
          <w:b/>
          <w:i/>
          <w:sz w:val="24"/>
          <w:szCs w:val="24"/>
        </w:rPr>
        <w:t xml:space="preserve"> </w:t>
      </w:r>
      <w:r w:rsidR="00B662D9" w:rsidRPr="0052622B">
        <w:rPr>
          <w:rFonts w:ascii="Times New Roman" w:hAnsi="Times New Roman"/>
          <w:b/>
          <w:i/>
          <w:sz w:val="24"/>
          <w:szCs w:val="24"/>
        </w:rPr>
        <w:t>Dept. of Commerce , Berhampur University , O</w:t>
      </w:r>
      <w:r w:rsidR="00B662D9">
        <w:rPr>
          <w:rFonts w:ascii="Times New Roman" w:hAnsi="Times New Roman"/>
          <w:b/>
          <w:i/>
          <w:sz w:val="24"/>
          <w:szCs w:val="24"/>
        </w:rPr>
        <w:t>disha</w:t>
      </w:r>
      <w:r w:rsidR="00B662D9" w:rsidRPr="0052622B">
        <w:rPr>
          <w:rFonts w:ascii="Times New Roman" w:hAnsi="Times New Roman"/>
          <w:b/>
          <w:i/>
          <w:sz w:val="24"/>
          <w:szCs w:val="24"/>
        </w:rPr>
        <w:t>.</w:t>
      </w:r>
    </w:p>
    <w:p w:rsidR="00650BB8" w:rsidRPr="0052622B" w:rsidRDefault="00650BB8" w:rsidP="00650BB8">
      <w:pPr>
        <w:pStyle w:val="FootnoteText"/>
        <w:rPr>
          <w:rFonts w:ascii="Times New Roman" w:hAnsi="Times New Roman"/>
          <w:b/>
          <w:i/>
          <w:sz w:val="24"/>
          <w:szCs w:val="24"/>
          <w:lang w:val="en-US"/>
        </w:rPr>
      </w:pPr>
    </w:p>
  </w:footnote>
  <w:footnote w:id="3">
    <w:p w:rsidR="00650BB8" w:rsidRPr="0052622B" w:rsidRDefault="00650BB8" w:rsidP="00650BB8">
      <w:pPr>
        <w:pStyle w:val="FootnoteText"/>
        <w:rPr>
          <w:rFonts w:ascii="Times New Roman" w:hAnsi="Times New Roman"/>
          <w:b/>
          <w:i/>
          <w:sz w:val="24"/>
          <w:szCs w:val="24"/>
          <w:lang w:val="en-US"/>
        </w:rPr>
      </w:pPr>
      <w:r w:rsidRPr="0052622B">
        <w:rPr>
          <w:rStyle w:val="FootnoteReference"/>
          <w:rFonts w:ascii="Times New Roman" w:hAnsi="Times New Roman"/>
          <w:b/>
          <w:i/>
          <w:sz w:val="24"/>
          <w:szCs w:val="24"/>
        </w:rPr>
        <w:footnoteRef/>
      </w:r>
      <w:r w:rsidRPr="0052622B">
        <w:rPr>
          <w:rFonts w:ascii="Times New Roman" w:hAnsi="Times New Roman"/>
          <w:b/>
          <w:i/>
          <w:sz w:val="24"/>
          <w:szCs w:val="24"/>
        </w:rPr>
        <w:t xml:space="preserve"> Professor in Dept. of Commerce  , Berhampur University , O</w:t>
      </w:r>
      <w:r w:rsidR="00B662D9">
        <w:rPr>
          <w:rFonts w:ascii="Times New Roman" w:hAnsi="Times New Roman"/>
          <w:b/>
          <w:i/>
          <w:sz w:val="24"/>
          <w:szCs w:val="24"/>
        </w:rPr>
        <w:t>disha</w:t>
      </w:r>
      <w:r w:rsidRPr="0052622B">
        <w:rPr>
          <w:rFonts w:ascii="Times New Roman" w:hAnsi="Times New Roman"/>
          <w:b/>
          <w:i/>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6449"/>
    <w:multiLevelType w:val="hybridMultilevel"/>
    <w:tmpl w:val="4106F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B6626"/>
    <w:multiLevelType w:val="hybridMultilevel"/>
    <w:tmpl w:val="325C6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5228C"/>
    <w:multiLevelType w:val="hybridMultilevel"/>
    <w:tmpl w:val="1D4E7D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884C15"/>
    <w:multiLevelType w:val="hybridMultilevel"/>
    <w:tmpl w:val="1FC6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C1C12"/>
    <w:rsid w:val="000446C9"/>
    <w:rsid w:val="000A165E"/>
    <w:rsid w:val="000D4D60"/>
    <w:rsid w:val="0016365C"/>
    <w:rsid w:val="00176CDC"/>
    <w:rsid w:val="001D0A90"/>
    <w:rsid w:val="001E2AAF"/>
    <w:rsid w:val="00220261"/>
    <w:rsid w:val="002C1C12"/>
    <w:rsid w:val="002D0E8B"/>
    <w:rsid w:val="00434385"/>
    <w:rsid w:val="004943FB"/>
    <w:rsid w:val="004A6186"/>
    <w:rsid w:val="005C10F0"/>
    <w:rsid w:val="005D2D00"/>
    <w:rsid w:val="0061240B"/>
    <w:rsid w:val="00650BB8"/>
    <w:rsid w:val="0065600D"/>
    <w:rsid w:val="00752FF0"/>
    <w:rsid w:val="00753C40"/>
    <w:rsid w:val="007F43C1"/>
    <w:rsid w:val="0089740E"/>
    <w:rsid w:val="008D5E7E"/>
    <w:rsid w:val="00962602"/>
    <w:rsid w:val="00971265"/>
    <w:rsid w:val="009835A4"/>
    <w:rsid w:val="00994BA1"/>
    <w:rsid w:val="009A15BB"/>
    <w:rsid w:val="009B5657"/>
    <w:rsid w:val="009E5547"/>
    <w:rsid w:val="00A10DF7"/>
    <w:rsid w:val="00A62CF4"/>
    <w:rsid w:val="00AB14DB"/>
    <w:rsid w:val="00AD4127"/>
    <w:rsid w:val="00B423E1"/>
    <w:rsid w:val="00B662D9"/>
    <w:rsid w:val="00B727D6"/>
    <w:rsid w:val="00BB2F8B"/>
    <w:rsid w:val="00BC0E30"/>
    <w:rsid w:val="00C037FF"/>
    <w:rsid w:val="00CF296E"/>
    <w:rsid w:val="00D06AA9"/>
    <w:rsid w:val="00D65234"/>
    <w:rsid w:val="00D821B5"/>
    <w:rsid w:val="00EA7FAC"/>
    <w:rsid w:val="00F57B16"/>
    <w:rsid w:val="00FB16EB"/>
    <w:rsid w:val="00FC484A"/>
    <w:rsid w:val="00FE368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1C12"/>
  </w:style>
  <w:style w:type="character" w:customStyle="1" w:styleId="person">
    <w:name w:val="person"/>
    <w:basedOn w:val="DefaultParagraphFont"/>
    <w:rsid w:val="002C1C12"/>
  </w:style>
  <w:style w:type="character" w:styleId="Hyperlink">
    <w:name w:val="Hyperlink"/>
    <w:basedOn w:val="DefaultParagraphFont"/>
    <w:uiPriority w:val="99"/>
    <w:semiHidden/>
    <w:unhideWhenUsed/>
    <w:rsid w:val="002C1C12"/>
    <w:rPr>
      <w:color w:val="0000FF"/>
      <w:u w:val="single"/>
    </w:rPr>
  </w:style>
  <w:style w:type="character" w:customStyle="1" w:styleId="company">
    <w:name w:val="company"/>
    <w:basedOn w:val="DefaultParagraphFont"/>
    <w:rsid w:val="002C1C12"/>
  </w:style>
  <w:style w:type="paragraph" w:styleId="FootnoteText">
    <w:name w:val="footnote text"/>
    <w:basedOn w:val="Normal"/>
    <w:link w:val="FootnoteTextChar"/>
    <w:uiPriority w:val="99"/>
    <w:semiHidden/>
    <w:unhideWhenUsed/>
    <w:rsid w:val="00650BB8"/>
    <w:pPr>
      <w:spacing w:after="0" w:line="240" w:lineRule="auto"/>
    </w:pPr>
    <w:rPr>
      <w:rFonts w:ascii="Calibri" w:eastAsia="Calibri" w:hAnsi="Calibri" w:cs="Times New Roman"/>
      <w:spacing w:val="10"/>
      <w:sz w:val="20"/>
      <w:szCs w:val="20"/>
      <w:lang w:val="en-IN"/>
    </w:rPr>
  </w:style>
  <w:style w:type="character" w:customStyle="1" w:styleId="FootnoteTextChar">
    <w:name w:val="Footnote Text Char"/>
    <w:basedOn w:val="DefaultParagraphFont"/>
    <w:link w:val="FootnoteText"/>
    <w:uiPriority w:val="99"/>
    <w:semiHidden/>
    <w:rsid w:val="00650BB8"/>
    <w:rPr>
      <w:rFonts w:ascii="Calibri" w:eastAsia="Calibri" w:hAnsi="Calibri" w:cs="Times New Roman"/>
      <w:spacing w:val="10"/>
      <w:sz w:val="20"/>
      <w:szCs w:val="20"/>
      <w:lang w:val="en-IN"/>
    </w:rPr>
  </w:style>
  <w:style w:type="character" w:styleId="FootnoteReference">
    <w:name w:val="footnote reference"/>
    <w:basedOn w:val="DefaultParagraphFont"/>
    <w:uiPriority w:val="99"/>
    <w:semiHidden/>
    <w:unhideWhenUsed/>
    <w:rsid w:val="00650BB8"/>
    <w:rPr>
      <w:vertAlign w:val="superscript"/>
    </w:rPr>
  </w:style>
  <w:style w:type="table" w:styleId="TableGrid">
    <w:name w:val="Table Grid"/>
    <w:basedOn w:val="TableNormal"/>
    <w:uiPriority w:val="59"/>
    <w:rsid w:val="00B423E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6186"/>
    <w:pPr>
      <w:ind w:left="720"/>
      <w:contextualSpacing/>
    </w:pPr>
  </w:style>
  <w:style w:type="paragraph" w:customStyle="1" w:styleId="body">
    <w:name w:val="body"/>
    <w:basedOn w:val="Normal"/>
    <w:rsid w:val="00176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rupee">
    <w:name w:val="webrupee"/>
    <w:basedOn w:val="DefaultParagraphFont"/>
    <w:rsid w:val="00176CDC"/>
  </w:style>
</w:styles>
</file>

<file path=word/webSettings.xml><?xml version="1.0" encoding="utf-8"?>
<w:webSettings xmlns:r="http://schemas.openxmlformats.org/officeDocument/2006/relationships" xmlns:w="http://schemas.openxmlformats.org/wordprocessingml/2006/main">
  <w:divs>
    <w:div w:id="444351512">
      <w:bodyDiv w:val="1"/>
      <w:marLeft w:val="0"/>
      <w:marRight w:val="0"/>
      <w:marTop w:val="0"/>
      <w:marBottom w:val="0"/>
      <w:divBdr>
        <w:top w:val="none" w:sz="0" w:space="0" w:color="auto"/>
        <w:left w:val="none" w:sz="0" w:space="0" w:color="auto"/>
        <w:bottom w:val="none" w:sz="0" w:space="0" w:color="auto"/>
        <w:right w:val="none" w:sz="0" w:space="0" w:color="auto"/>
      </w:divBdr>
      <w:divsChild>
        <w:div w:id="125897256">
          <w:marLeft w:val="0"/>
          <w:marRight w:val="0"/>
          <w:marTop w:val="0"/>
          <w:marBottom w:val="255"/>
          <w:divBdr>
            <w:top w:val="none" w:sz="0" w:space="0" w:color="auto"/>
            <w:left w:val="none" w:sz="0" w:space="0" w:color="auto"/>
            <w:bottom w:val="none" w:sz="0" w:space="0" w:color="auto"/>
            <w:right w:val="none" w:sz="0" w:space="0" w:color="auto"/>
          </w:divBdr>
        </w:div>
        <w:div w:id="519398855">
          <w:marLeft w:val="0"/>
          <w:marRight w:val="0"/>
          <w:marTop w:val="0"/>
          <w:marBottom w:val="255"/>
          <w:divBdr>
            <w:top w:val="none" w:sz="0" w:space="0" w:color="auto"/>
            <w:left w:val="none" w:sz="0" w:space="0" w:color="auto"/>
            <w:bottom w:val="none" w:sz="0" w:space="0" w:color="auto"/>
            <w:right w:val="none" w:sz="0" w:space="0" w:color="auto"/>
          </w:divBdr>
        </w:div>
      </w:divsChild>
    </w:div>
    <w:div w:id="519903095">
      <w:bodyDiv w:val="1"/>
      <w:marLeft w:val="0"/>
      <w:marRight w:val="0"/>
      <w:marTop w:val="0"/>
      <w:marBottom w:val="0"/>
      <w:divBdr>
        <w:top w:val="none" w:sz="0" w:space="0" w:color="auto"/>
        <w:left w:val="none" w:sz="0" w:space="0" w:color="auto"/>
        <w:bottom w:val="none" w:sz="0" w:space="0" w:color="auto"/>
        <w:right w:val="none" w:sz="0" w:space="0" w:color="auto"/>
      </w:divBdr>
      <w:divsChild>
        <w:div w:id="464738061">
          <w:marLeft w:val="0"/>
          <w:marRight w:val="0"/>
          <w:marTop w:val="0"/>
          <w:marBottom w:val="0"/>
          <w:divBdr>
            <w:top w:val="none" w:sz="0" w:space="0" w:color="auto"/>
            <w:left w:val="none" w:sz="0" w:space="0" w:color="auto"/>
            <w:bottom w:val="none" w:sz="0" w:space="0" w:color="auto"/>
            <w:right w:val="none" w:sz="0" w:space="0" w:color="auto"/>
          </w:divBdr>
        </w:div>
      </w:divsChild>
    </w:div>
    <w:div w:id="1898778160">
      <w:bodyDiv w:val="1"/>
      <w:marLeft w:val="0"/>
      <w:marRight w:val="0"/>
      <w:marTop w:val="0"/>
      <w:marBottom w:val="0"/>
      <w:divBdr>
        <w:top w:val="none" w:sz="0" w:space="0" w:color="auto"/>
        <w:left w:val="none" w:sz="0" w:space="0" w:color="auto"/>
        <w:bottom w:val="none" w:sz="0" w:space="0" w:color="auto"/>
        <w:right w:val="none" w:sz="0" w:space="0" w:color="auto"/>
      </w:divBdr>
    </w:div>
    <w:div w:id="1928730809">
      <w:bodyDiv w:val="1"/>
      <w:marLeft w:val="0"/>
      <w:marRight w:val="0"/>
      <w:marTop w:val="0"/>
      <w:marBottom w:val="0"/>
      <w:divBdr>
        <w:top w:val="none" w:sz="0" w:space="0" w:color="auto"/>
        <w:left w:val="none" w:sz="0" w:space="0" w:color="auto"/>
        <w:bottom w:val="none" w:sz="0" w:space="0" w:color="auto"/>
        <w:right w:val="none" w:sz="0" w:space="0" w:color="auto"/>
      </w:divBdr>
      <w:divsChild>
        <w:div w:id="201670543">
          <w:marLeft w:val="0"/>
          <w:marRight w:val="0"/>
          <w:marTop w:val="0"/>
          <w:marBottom w:val="255"/>
          <w:divBdr>
            <w:top w:val="none" w:sz="0" w:space="0" w:color="auto"/>
            <w:left w:val="none" w:sz="0" w:space="0" w:color="auto"/>
            <w:bottom w:val="none" w:sz="0" w:space="0" w:color="auto"/>
            <w:right w:val="none" w:sz="0" w:space="0" w:color="auto"/>
          </w:divBdr>
        </w:div>
        <w:div w:id="1786806010">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mint.com/Search/Link/Keyword/Kotak%20Mahindra%20Bank%20Lt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vemint.com/Search/Link/Keyword/Yes%20Bank%20Ltd" TargetMode="External"/><Relationship Id="rId12" Type="http://schemas.openxmlformats.org/officeDocument/2006/relationships/hyperlink" Target="http://www.livemint.com/Search/Link/Keyword/Kotak%20Mahindra%20Bank%20L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mint.com/Search/Link/Keyword/Yes%20Bank%20Ltd" TargetMode="External"/><Relationship Id="rId5" Type="http://schemas.openxmlformats.org/officeDocument/2006/relationships/footnotes" Target="footnotes.xml"/><Relationship Id="rId10" Type="http://schemas.openxmlformats.org/officeDocument/2006/relationships/hyperlink" Target="http://www.business-standard.com/search?type=news&amp;q=Tata+Sons" TargetMode="External"/><Relationship Id="rId4" Type="http://schemas.openxmlformats.org/officeDocument/2006/relationships/webSettings" Target="webSettings.xml"/><Relationship Id="rId9" Type="http://schemas.openxmlformats.org/officeDocument/2006/relationships/hyperlink" Target="http://www.business-standard.com/search?type=news&amp;q=Licen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Arundhati</dc:creator>
  <cp:lastModifiedBy>User</cp:lastModifiedBy>
  <cp:revision>5</cp:revision>
  <dcterms:created xsi:type="dcterms:W3CDTF">2014-02-13T00:08:00Z</dcterms:created>
  <dcterms:modified xsi:type="dcterms:W3CDTF">2014-11-19T06:40:00Z</dcterms:modified>
</cp:coreProperties>
</file>