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16" w:rsidRPr="005179F2" w:rsidRDefault="005179F2" w:rsidP="005179F2">
      <w:pPr>
        <w:tabs>
          <w:tab w:val="left" w:pos="90"/>
          <w:tab w:val="left" w:pos="270"/>
        </w:tabs>
        <w:ind w:left="0"/>
        <w:jc w:val="center"/>
        <w:rPr>
          <w:rFonts w:ascii="Times New Roman" w:hAnsi="Times New Roman" w:cs="Times New Roman"/>
          <w:b/>
          <w:sz w:val="28"/>
          <w:szCs w:val="28"/>
        </w:rPr>
      </w:pPr>
      <w:r w:rsidRPr="005179F2">
        <w:rPr>
          <w:rFonts w:ascii="Times New Roman" w:hAnsi="Times New Roman" w:cs="Times New Roman"/>
          <w:b/>
          <w:sz w:val="28"/>
          <w:szCs w:val="28"/>
        </w:rPr>
        <w:t>Key Emerging Trends In Insurance Industry: The Way Forward</w:t>
      </w:r>
    </w:p>
    <w:p w:rsidR="00A210F8" w:rsidRDefault="00A210F8">
      <w:pPr>
        <w:rPr>
          <w:rFonts w:ascii="Times New Roman" w:hAnsi="Times New Roman" w:cs="Times New Roman"/>
          <w:b/>
          <w:sz w:val="28"/>
          <w:szCs w:val="28"/>
          <w:u w:val="single"/>
        </w:rPr>
      </w:pPr>
    </w:p>
    <w:p w:rsidR="0095545C" w:rsidRDefault="005179F2" w:rsidP="0095545C">
      <w:pPr>
        <w:autoSpaceDE w:val="0"/>
        <w:autoSpaceDN w:val="0"/>
        <w:adjustRightInd w:val="0"/>
        <w:spacing w:line="240" w:lineRule="auto"/>
        <w:ind w:left="0"/>
        <w:jc w:val="right"/>
        <w:rPr>
          <w:rFonts w:ascii="Times New Roman" w:hAnsi="Times New Roman" w:cs="Times New Roman"/>
          <w:b/>
          <w:sz w:val="24"/>
          <w:szCs w:val="24"/>
        </w:rPr>
      </w:pPr>
      <w:r>
        <w:rPr>
          <w:rFonts w:ascii="Times New Roman" w:hAnsi="Times New Roman" w:cs="Times New Roman"/>
          <w:b/>
          <w:sz w:val="24"/>
          <w:szCs w:val="24"/>
        </w:rPr>
        <w:t>Dr</w:t>
      </w:r>
      <w:r w:rsidRPr="0029416E">
        <w:rPr>
          <w:rFonts w:ascii="Times New Roman" w:hAnsi="Times New Roman" w:cs="Times New Roman"/>
          <w:b/>
          <w:sz w:val="24"/>
          <w:szCs w:val="24"/>
        </w:rPr>
        <w:t>. Nisha Jain</w:t>
      </w:r>
      <w:r w:rsidR="0095545C">
        <w:rPr>
          <w:rFonts w:ascii="Times New Roman" w:hAnsi="Times New Roman" w:cs="Times New Roman"/>
          <w:b/>
          <w:sz w:val="24"/>
          <w:szCs w:val="24"/>
        </w:rPr>
        <w:t>*</w:t>
      </w:r>
    </w:p>
    <w:p w:rsidR="0095545C" w:rsidRDefault="005179F2" w:rsidP="0095545C">
      <w:pPr>
        <w:autoSpaceDE w:val="0"/>
        <w:autoSpaceDN w:val="0"/>
        <w:adjustRightInd w:val="0"/>
        <w:spacing w:line="240" w:lineRule="auto"/>
        <w:ind w:left="0"/>
        <w:jc w:val="right"/>
        <w:rPr>
          <w:rFonts w:ascii="Times New Roman" w:hAnsi="Times New Roman" w:cs="Times New Roman"/>
          <w:b/>
          <w:sz w:val="24"/>
          <w:szCs w:val="24"/>
        </w:rPr>
      </w:pPr>
      <w:r>
        <w:rPr>
          <w:rFonts w:ascii="Times New Roman" w:hAnsi="Times New Roman" w:cs="Times New Roman"/>
          <w:b/>
          <w:sz w:val="24"/>
          <w:szCs w:val="24"/>
        </w:rPr>
        <w:t>Dr. S. K .Sahoo</w:t>
      </w:r>
      <w:r w:rsidR="0095545C">
        <w:rPr>
          <w:rFonts w:ascii="Times New Roman" w:hAnsi="Times New Roman" w:cs="Times New Roman"/>
          <w:b/>
          <w:sz w:val="24"/>
          <w:szCs w:val="24"/>
        </w:rPr>
        <w:t>**</w:t>
      </w:r>
    </w:p>
    <w:p w:rsidR="0095545C" w:rsidRPr="0029416E" w:rsidRDefault="0095545C" w:rsidP="0095545C">
      <w:pPr>
        <w:autoSpaceDE w:val="0"/>
        <w:autoSpaceDN w:val="0"/>
        <w:adjustRightInd w:val="0"/>
        <w:spacing w:line="240" w:lineRule="auto"/>
        <w:ind w:left="0"/>
        <w:jc w:val="center"/>
        <w:rPr>
          <w:rFonts w:ascii="Times New Roman" w:hAnsi="Times New Roman" w:cs="Times New Roman"/>
          <w:b/>
          <w:sz w:val="24"/>
          <w:szCs w:val="24"/>
        </w:rPr>
      </w:pPr>
    </w:p>
    <w:p w:rsidR="005179F2" w:rsidRDefault="005179F2" w:rsidP="005179F2">
      <w:pPr>
        <w:pStyle w:val="ListParagraph"/>
        <w:ind w:left="0"/>
        <w:jc w:val="center"/>
        <w:rPr>
          <w:rFonts w:ascii="Times New Roman" w:hAnsi="Times New Roman" w:cs="Times New Roman"/>
          <w:b/>
          <w:sz w:val="28"/>
          <w:szCs w:val="28"/>
        </w:rPr>
      </w:pPr>
    </w:p>
    <w:p w:rsidR="005179F2" w:rsidRDefault="005179F2" w:rsidP="005179F2">
      <w:pPr>
        <w:pStyle w:val="ListParagraph"/>
        <w:ind w:left="0"/>
        <w:jc w:val="center"/>
        <w:rPr>
          <w:rFonts w:ascii="Times New Roman" w:hAnsi="Times New Roman" w:cs="Times New Roman"/>
          <w:b/>
          <w:sz w:val="28"/>
          <w:szCs w:val="28"/>
        </w:rPr>
      </w:pPr>
    </w:p>
    <w:p w:rsidR="00A210F8" w:rsidRPr="005179F2" w:rsidRDefault="005179F2" w:rsidP="005179F2">
      <w:pPr>
        <w:pStyle w:val="ListParagraph"/>
        <w:ind w:left="0"/>
        <w:jc w:val="center"/>
        <w:rPr>
          <w:rFonts w:ascii="Times New Roman" w:hAnsi="Times New Roman" w:cs="Times New Roman"/>
          <w:b/>
          <w:sz w:val="28"/>
          <w:szCs w:val="28"/>
        </w:rPr>
      </w:pPr>
      <w:r w:rsidRPr="005179F2">
        <w:rPr>
          <w:rFonts w:ascii="Times New Roman" w:hAnsi="Times New Roman" w:cs="Times New Roman"/>
          <w:b/>
          <w:sz w:val="28"/>
          <w:szCs w:val="28"/>
        </w:rPr>
        <w:t>Abstract</w:t>
      </w:r>
    </w:p>
    <w:p w:rsidR="005C55DF" w:rsidRPr="005C55DF" w:rsidRDefault="005C55DF" w:rsidP="005C55DF">
      <w:pPr>
        <w:autoSpaceDE w:val="0"/>
        <w:autoSpaceDN w:val="0"/>
        <w:adjustRightInd w:val="0"/>
        <w:spacing w:line="240" w:lineRule="auto"/>
        <w:ind w:left="0"/>
        <w:rPr>
          <w:rFonts w:ascii="Univers LT Std 45 Light" w:hAnsi="Univers LT Std 45 Light" w:cs="Univers LT Std 45 Light"/>
          <w:color w:val="000000"/>
          <w:sz w:val="24"/>
          <w:szCs w:val="24"/>
        </w:rPr>
      </w:pPr>
    </w:p>
    <w:p w:rsidR="005179F2" w:rsidRDefault="005179F2" w:rsidP="00C9199D">
      <w:pPr>
        <w:pStyle w:val="ListParagraph"/>
        <w:ind w:left="90"/>
        <w:jc w:val="both"/>
        <w:rPr>
          <w:rFonts w:ascii="Times New Roman" w:hAnsi="Times New Roman" w:cs="Times New Roman"/>
          <w:sz w:val="24"/>
          <w:szCs w:val="24"/>
        </w:rPr>
      </w:pPr>
    </w:p>
    <w:p w:rsidR="00A075C6" w:rsidRPr="005179F2" w:rsidRDefault="005C55DF" w:rsidP="005179F2">
      <w:pPr>
        <w:pStyle w:val="ListParagraph"/>
        <w:spacing w:line="360" w:lineRule="auto"/>
        <w:ind w:left="90"/>
        <w:jc w:val="both"/>
        <w:rPr>
          <w:rFonts w:ascii="Times New Roman" w:hAnsi="Times New Roman" w:cs="Times New Roman"/>
          <w:b/>
          <w:i/>
          <w:sz w:val="24"/>
          <w:szCs w:val="24"/>
        </w:rPr>
      </w:pPr>
      <w:r w:rsidRPr="005179F2">
        <w:rPr>
          <w:rFonts w:ascii="Times New Roman" w:hAnsi="Times New Roman" w:cs="Times New Roman"/>
          <w:i/>
          <w:sz w:val="24"/>
          <w:szCs w:val="24"/>
        </w:rPr>
        <w:t xml:space="preserve">The Insurance industry in India has undergone transformational changes over the last 12 years. Liberalization has led to the entry of the largest insurance companies in the world, who have taken a strategic view on India being one of the top priority emerging markets. The industry has </w:t>
      </w:r>
      <w:r w:rsidR="00C9199D" w:rsidRPr="005179F2">
        <w:rPr>
          <w:rFonts w:ascii="Times New Roman" w:hAnsi="Times New Roman" w:cs="Times New Roman"/>
          <w:i/>
          <w:sz w:val="24"/>
          <w:szCs w:val="24"/>
        </w:rPr>
        <w:t>w</w:t>
      </w:r>
      <w:r w:rsidRPr="005179F2">
        <w:rPr>
          <w:rFonts w:ascii="Times New Roman" w:hAnsi="Times New Roman" w:cs="Times New Roman"/>
          <w:i/>
          <w:sz w:val="24"/>
          <w:szCs w:val="24"/>
        </w:rPr>
        <w:t>itnessed phases of rapid growth along with spans of growth moderation, intensifying competition with both life and general insurance segments having more than 20 competing companies, and significant expansion of the customer base. There have also been number of product innovations and operational innovations necessitated by increased competition among the players.</w:t>
      </w:r>
    </w:p>
    <w:p w:rsidR="005179F2" w:rsidRPr="005179F2" w:rsidRDefault="005D739E" w:rsidP="005179F2">
      <w:pPr>
        <w:autoSpaceDE w:val="0"/>
        <w:autoSpaceDN w:val="0"/>
        <w:adjustRightInd w:val="0"/>
        <w:spacing w:line="360" w:lineRule="auto"/>
        <w:ind w:left="0" w:hanging="360"/>
        <w:jc w:val="both"/>
        <w:rPr>
          <w:rFonts w:ascii="BerkeleyStd-Book" w:hAnsi="BerkeleyStd-Book" w:cs="BerkeleyStd-Book"/>
          <w:i/>
          <w:sz w:val="24"/>
          <w:szCs w:val="24"/>
        </w:rPr>
      </w:pPr>
      <w:r w:rsidRPr="005179F2">
        <w:rPr>
          <w:rFonts w:ascii="BerkeleyStd-Book" w:hAnsi="BerkeleyStd-Book" w:cs="BerkeleyStd-Book"/>
          <w:i/>
          <w:sz w:val="24"/>
          <w:szCs w:val="24"/>
        </w:rPr>
        <w:t xml:space="preserve">        </w:t>
      </w:r>
      <w:r w:rsidR="005179F2" w:rsidRPr="005179F2">
        <w:rPr>
          <w:rFonts w:ascii="BerkeleyStd-Book" w:hAnsi="BerkeleyStd-Book" w:cs="BerkeleyStd-Book"/>
          <w:i/>
          <w:sz w:val="24"/>
          <w:szCs w:val="24"/>
        </w:rPr>
        <w:tab/>
      </w:r>
    </w:p>
    <w:p w:rsidR="00A210F8" w:rsidRPr="005179F2" w:rsidRDefault="005179F2" w:rsidP="005179F2">
      <w:pPr>
        <w:autoSpaceDE w:val="0"/>
        <w:autoSpaceDN w:val="0"/>
        <w:adjustRightInd w:val="0"/>
        <w:spacing w:line="360" w:lineRule="auto"/>
        <w:ind w:left="0" w:hanging="360"/>
        <w:jc w:val="both"/>
        <w:rPr>
          <w:rFonts w:ascii="BerkeleyStd-Book" w:hAnsi="BerkeleyStd-Book" w:cs="BerkeleyStd-Book"/>
          <w:i/>
          <w:sz w:val="24"/>
          <w:szCs w:val="24"/>
        </w:rPr>
      </w:pPr>
      <w:r w:rsidRPr="005179F2">
        <w:rPr>
          <w:rFonts w:ascii="BerkeleyStd-Book" w:hAnsi="BerkeleyStd-Book" w:cs="BerkeleyStd-Book"/>
          <w:i/>
          <w:sz w:val="24"/>
          <w:szCs w:val="24"/>
        </w:rPr>
        <w:tab/>
      </w:r>
      <w:r w:rsidR="005D739E" w:rsidRPr="005179F2">
        <w:rPr>
          <w:rFonts w:ascii="BerkeleyStd-Book" w:hAnsi="BerkeleyStd-Book" w:cs="BerkeleyStd-Book"/>
          <w:i/>
          <w:sz w:val="24"/>
          <w:szCs w:val="24"/>
        </w:rPr>
        <w:t>Over the last few decades, continued environmental, operational, and technological changes have led to the development of multiple distribution channels in the insurance industry. Insurers no longer rely solely on traditional channels such as agents and brokers, but have developed new alternate channels to drive growth at lower costs.</w:t>
      </w:r>
      <w:r w:rsidR="00A075C6" w:rsidRPr="005179F2">
        <w:rPr>
          <w:rFonts w:ascii="BerkeleyStd-Book" w:hAnsi="BerkeleyStd-Book" w:cs="BerkeleyStd-Book"/>
          <w:i/>
          <w:sz w:val="24"/>
          <w:szCs w:val="24"/>
        </w:rPr>
        <w:t xml:space="preserve"> </w:t>
      </w:r>
      <w:r w:rsidR="005D739E" w:rsidRPr="005179F2">
        <w:rPr>
          <w:rFonts w:ascii="BerkeleyStd-Book" w:hAnsi="BerkeleyStd-Book" w:cs="BerkeleyStd-Book"/>
          <w:i/>
          <w:sz w:val="24"/>
          <w:szCs w:val="24"/>
        </w:rPr>
        <w:t xml:space="preserve">As competition in insurance markets is intensifying, cost savings and customer retention has become critical, forcing insurers to look for ways to drive sales and customer convenience while keeping costs low and maintaining profitability. </w:t>
      </w:r>
      <w:r w:rsidR="00F34C70" w:rsidRPr="005179F2">
        <w:rPr>
          <w:rFonts w:ascii="BerkeleyStd-Book" w:hAnsi="BerkeleyStd-Book" w:cs="BerkeleyStd-Book"/>
          <w:i/>
          <w:sz w:val="24"/>
          <w:szCs w:val="24"/>
        </w:rPr>
        <w:t xml:space="preserve">The paper discusses about the insurance sector in India and the emerging trends that </w:t>
      </w:r>
      <w:r w:rsidR="00BC6110" w:rsidRPr="005179F2">
        <w:rPr>
          <w:rFonts w:ascii="BerkeleyStd-Book" w:hAnsi="BerkeleyStd-Book" w:cs="BerkeleyStd-Book"/>
          <w:i/>
          <w:sz w:val="24"/>
          <w:szCs w:val="24"/>
        </w:rPr>
        <w:t xml:space="preserve">would </w:t>
      </w:r>
      <w:r w:rsidR="00F34C70" w:rsidRPr="005179F2">
        <w:rPr>
          <w:rFonts w:ascii="BerkeleyStd-Book" w:hAnsi="BerkeleyStd-Book" w:cs="BerkeleyStd-Book"/>
          <w:i/>
          <w:sz w:val="24"/>
          <w:szCs w:val="24"/>
        </w:rPr>
        <w:t>shape the future growth and profitability of the industry.</w:t>
      </w:r>
    </w:p>
    <w:p w:rsidR="00657D62" w:rsidRPr="005179F2" w:rsidRDefault="00657D62" w:rsidP="005179F2">
      <w:pPr>
        <w:autoSpaceDE w:val="0"/>
        <w:autoSpaceDN w:val="0"/>
        <w:adjustRightInd w:val="0"/>
        <w:spacing w:line="360" w:lineRule="auto"/>
        <w:ind w:hanging="360"/>
        <w:jc w:val="both"/>
        <w:rPr>
          <w:rFonts w:ascii="Times New Roman" w:hAnsi="Times New Roman" w:cs="Times New Roman"/>
          <w:i/>
          <w:sz w:val="24"/>
          <w:szCs w:val="24"/>
        </w:rPr>
      </w:pPr>
    </w:p>
    <w:p w:rsidR="005179F2" w:rsidRDefault="005179F2" w:rsidP="00573B72">
      <w:pPr>
        <w:autoSpaceDE w:val="0"/>
        <w:autoSpaceDN w:val="0"/>
        <w:adjustRightInd w:val="0"/>
        <w:spacing w:line="240" w:lineRule="auto"/>
        <w:ind w:hanging="360"/>
        <w:jc w:val="both"/>
        <w:rPr>
          <w:rFonts w:ascii="Times New Roman" w:hAnsi="Times New Roman" w:cs="Times New Roman"/>
          <w:sz w:val="24"/>
          <w:szCs w:val="24"/>
        </w:rPr>
      </w:pPr>
    </w:p>
    <w:p w:rsidR="005179F2" w:rsidRPr="005D739E" w:rsidRDefault="005179F2" w:rsidP="00573B72">
      <w:pPr>
        <w:autoSpaceDE w:val="0"/>
        <w:autoSpaceDN w:val="0"/>
        <w:adjustRightInd w:val="0"/>
        <w:spacing w:line="240" w:lineRule="auto"/>
        <w:ind w:hanging="360"/>
        <w:jc w:val="both"/>
        <w:rPr>
          <w:rFonts w:ascii="Times New Roman" w:hAnsi="Times New Roman" w:cs="Times New Roman"/>
          <w:sz w:val="24"/>
          <w:szCs w:val="24"/>
        </w:rPr>
      </w:pPr>
    </w:p>
    <w:p w:rsidR="00F34C70" w:rsidRDefault="00F34C70" w:rsidP="00C9199D">
      <w:pPr>
        <w:ind w:left="0"/>
        <w:rPr>
          <w:rFonts w:ascii="Times New Roman" w:hAnsi="Times New Roman" w:cs="Times New Roman"/>
          <w:sz w:val="24"/>
          <w:szCs w:val="24"/>
        </w:rPr>
      </w:pPr>
      <w:r w:rsidRPr="00F34C70">
        <w:rPr>
          <w:rFonts w:ascii="Times New Roman" w:hAnsi="Times New Roman" w:cs="Times New Roman"/>
          <w:b/>
          <w:sz w:val="24"/>
          <w:szCs w:val="24"/>
        </w:rPr>
        <w:t xml:space="preserve">Keywords:  </w:t>
      </w:r>
      <w:r w:rsidR="007B0684">
        <w:rPr>
          <w:rFonts w:ascii="Times New Roman" w:hAnsi="Times New Roman" w:cs="Times New Roman"/>
          <w:sz w:val="24"/>
          <w:szCs w:val="24"/>
        </w:rPr>
        <w:t>Strategic Innovation, I</w:t>
      </w:r>
      <w:r w:rsidR="00657D62" w:rsidRPr="00657D62">
        <w:rPr>
          <w:rFonts w:ascii="Times New Roman" w:hAnsi="Times New Roman" w:cs="Times New Roman"/>
          <w:sz w:val="24"/>
          <w:szCs w:val="24"/>
        </w:rPr>
        <w:t>nsurance channels,</w:t>
      </w:r>
      <w:r w:rsidR="00BC68BD">
        <w:rPr>
          <w:rFonts w:ascii="Times New Roman" w:hAnsi="Times New Roman" w:cs="Times New Roman"/>
          <w:sz w:val="24"/>
          <w:szCs w:val="24"/>
        </w:rPr>
        <w:t xml:space="preserve"> Competitive Strategies</w:t>
      </w:r>
      <w:r w:rsidR="00657D62" w:rsidRPr="00657D62">
        <w:rPr>
          <w:rFonts w:ascii="Times New Roman" w:hAnsi="Times New Roman" w:cs="Times New Roman"/>
          <w:sz w:val="24"/>
          <w:szCs w:val="24"/>
        </w:rPr>
        <w:t xml:space="preserve"> </w:t>
      </w:r>
      <w:r w:rsidR="007B0684">
        <w:rPr>
          <w:rFonts w:ascii="Times New Roman" w:hAnsi="Times New Roman" w:cs="Times New Roman"/>
          <w:sz w:val="24"/>
          <w:szCs w:val="24"/>
        </w:rPr>
        <w:t>P2P Insurance, Mobile-based Insurance</w:t>
      </w:r>
    </w:p>
    <w:p w:rsidR="005179F2" w:rsidRPr="00657D62" w:rsidRDefault="005179F2" w:rsidP="00C9199D">
      <w:pPr>
        <w:ind w:left="0"/>
        <w:rPr>
          <w:rFonts w:ascii="Times New Roman" w:hAnsi="Times New Roman" w:cs="Times New Roman"/>
          <w:sz w:val="24"/>
          <w:szCs w:val="24"/>
        </w:rPr>
      </w:pPr>
    </w:p>
    <w:p w:rsidR="005179F2" w:rsidRDefault="005179F2" w:rsidP="005179F2">
      <w:pPr>
        <w:pStyle w:val="ListParagraph"/>
        <w:pBdr>
          <w:bottom w:val="single" w:sz="12" w:space="1" w:color="auto"/>
        </w:pBdr>
        <w:tabs>
          <w:tab w:val="left" w:pos="0"/>
        </w:tabs>
        <w:ind w:left="0" w:hanging="90"/>
        <w:rPr>
          <w:rFonts w:ascii="Times New Roman" w:hAnsi="Times New Roman" w:cs="Times New Roman"/>
          <w:b/>
          <w:sz w:val="24"/>
          <w:szCs w:val="24"/>
        </w:rPr>
      </w:pPr>
    </w:p>
    <w:p w:rsidR="005179F2" w:rsidRPr="005179F2" w:rsidRDefault="005179F2" w:rsidP="005179F2">
      <w:pPr>
        <w:autoSpaceDE w:val="0"/>
        <w:autoSpaceDN w:val="0"/>
        <w:adjustRightInd w:val="0"/>
        <w:spacing w:line="240" w:lineRule="auto"/>
        <w:ind w:left="0"/>
        <w:rPr>
          <w:rFonts w:ascii="Times New Roman" w:hAnsi="Times New Roman" w:cs="Times New Roman"/>
          <w:sz w:val="24"/>
          <w:szCs w:val="24"/>
        </w:rPr>
      </w:pPr>
      <w:r w:rsidRPr="005179F2">
        <w:rPr>
          <w:rFonts w:ascii="Times New Roman" w:hAnsi="Times New Roman" w:cs="Times New Roman"/>
          <w:sz w:val="24"/>
          <w:szCs w:val="24"/>
        </w:rPr>
        <w:t>*Lecturer, Department of Commerce,   Ravenshaw College,   Cuttack</w:t>
      </w:r>
    </w:p>
    <w:p w:rsidR="005179F2" w:rsidRPr="005179F2" w:rsidRDefault="005179F2" w:rsidP="005179F2">
      <w:pPr>
        <w:autoSpaceDE w:val="0"/>
        <w:autoSpaceDN w:val="0"/>
        <w:adjustRightInd w:val="0"/>
        <w:spacing w:line="240" w:lineRule="auto"/>
        <w:ind w:left="0"/>
        <w:rPr>
          <w:rFonts w:ascii="Times New Roman" w:hAnsi="Times New Roman" w:cs="Times New Roman"/>
          <w:sz w:val="24"/>
          <w:szCs w:val="24"/>
        </w:rPr>
      </w:pPr>
      <w:r w:rsidRPr="005179F2">
        <w:rPr>
          <w:rFonts w:ascii="Times New Roman" w:hAnsi="Times New Roman" w:cs="Times New Roman"/>
          <w:sz w:val="24"/>
          <w:szCs w:val="24"/>
        </w:rPr>
        <w:t>**Reader, Department of Commerce,  Ravenshaw College,   Cuttack</w:t>
      </w:r>
    </w:p>
    <w:p w:rsidR="005179F2" w:rsidRDefault="005179F2" w:rsidP="005179F2">
      <w:pPr>
        <w:pStyle w:val="ListParagraph"/>
        <w:tabs>
          <w:tab w:val="left" w:pos="0"/>
        </w:tabs>
        <w:ind w:left="0" w:hanging="90"/>
        <w:rPr>
          <w:rFonts w:ascii="Times New Roman" w:hAnsi="Times New Roman" w:cs="Times New Roman"/>
          <w:b/>
          <w:sz w:val="24"/>
          <w:szCs w:val="24"/>
        </w:rPr>
      </w:pPr>
    </w:p>
    <w:p w:rsidR="00604B7E" w:rsidRDefault="00604B7E" w:rsidP="005179F2">
      <w:pPr>
        <w:pStyle w:val="ListParagraph"/>
        <w:tabs>
          <w:tab w:val="left" w:pos="0"/>
        </w:tabs>
        <w:ind w:left="0" w:hanging="90"/>
        <w:rPr>
          <w:rFonts w:ascii="Times New Roman" w:hAnsi="Times New Roman" w:cs="Times New Roman"/>
          <w:b/>
          <w:sz w:val="24"/>
          <w:szCs w:val="24"/>
        </w:rPr>
      </w:pPr>
    </w:p>
    <w:p w:rsidR="005179F2" w:rsidRDefault="00A210F8" w:rsidP="005179F2">
      <w:pPr>
        <w:pStyle w:val="ListParagraph"/>
        <w:tabs>
          <w:tab w:val="left" w:pos="0"/>
        </w:tabs>
        <w:ind w:left="0" w:hanging="90"/>
        <w:rPr>
          <w:rFonts w:ascii="Times New Roman" w:hAnsi="Times New Roman" w:cs="Times New Roman"/>
          <w:b/>
          <w:sz w:val="24"/>
          <w:szCs w:val="24"/>
        </w:rPr>
      </w:pPr>
      <w:r w:rsidRPr="007B0684">
        <w:rPr>
          <w:rFonts w:ascii="Times New Roman" w:hAnsi="Times New Roman" w:cs="Times New Roman"/>
          <w:b/>
          <w:sz w:val="24"/>
          <w:szCs w:val="24"/>
        </w:rPr>
        <w:lastRenderedPageBreak/>
        <w:t>INTRODUCTION:</w:t>
      </w:r>
    </w:p>
    <w:p w:rsidR="005179F2" w:rsidRDefault="005179F2" w:rsidP="005179F2">
      <w:pPr>
        <w:pStyle w:val="ListParagraph"/>
        <w:tabs>
          <w:tab w:val="left" w:pos="0"/>
        </w:tabs>
        <w:ind w:left="0" w:hanging="90"/>
        <w:rPr>
          <w:rFonts w:ascii="Times New Roman" w:hAnsi="Times New Roman" w:cs="Times New Roman"/>
          <w:b/>
          <w:sz w:val="24"/>
          <w:szCs w:val="24"/>
        </w:rPr>
      </w:pPr>
    </w:p>
    <w:p w:rsidR="005D739E" w:rsidRDefault="005179F2" w:rsidP="005179F2">
      <w:pPr>
        <w:pStyle w:val="ListParagraph"/>
        <w:tabs>
          <w:tab w:val="left" w:pos="0"/>
        </w:tabs>
        <w:ind w:left="0" w:hanging="90"/>
        <w:jc w:val="both"/>
        <w:rPr>
          <w:rFonts w:ascii="Times New Roman" w:hAnsi="Times New Roman" w:cs="Times New Roman"/>
          <w:sz w:val="24"/>
          <w:szCs w:val="24"/>
        </w:rPr>
      </w:pPr>
      <w:r>
        <w:rPr>
          <w:rFonts w:ascii="Times New Roman" w:hAnsi="Times New Roman" w:cs="Times New Roman"/>
          <w:b/>
          <w:sz w:val="24"/>
          <w:szCs w:val="24"/>
        </w:rPr>
        <w:t xml:space="preserve">  </w:t>
      </w:r>
      <w:r w:rsidR="005D739E" w:rsidRPr="005D739E">
        <w:rPr>
          <w:rFonts w:ascii="Times New Roman" w:hAnsi="Times New Roman" w:cs="Times New Roman"/>
          <w:iCs/>
          <w:sz w:val="24"/>
          <w:szCs w:val="24"/>
        </w:rPr>
        <w:t>It is argued that strategic innovation is a crucial driver of growth, performance, and valuation. That is why an increasing number of financial institutions have put ‘innovation’ on the top of their corporate agenda. But research has revealed that there is a wide gap between the aspirations of executives to innovate and their ability to execute, especially when it comes to strategic innovation. In particular, established insurance firms find it difficult to translate their innovation ambitions into successf</w:t>
      </w:r>
      <w:r w:rsidR="004128F8">
        <w:rPr>
          <w:rFonts w:ascii="Times New Roman" w:hAnsi="Times New Roman" w:cs="Times New Roman"/>
          <w:iCs/>
          <w:sz w:val="24"/>
          <w:szCs w:val="24"/>
        </w:rPr>
        <w:t>ul projects and new businesses. N</w:t>
      </w:r>
      <w:r w:rsidR="005D739E" w:rsidRPr="005D739E">
        <w:rPr>
          <w:rFonts w:ascii="Times New Roman" w:hAnsi="Times New Roman" w:cs="Times New Roman"/>
          <w:iCs/>
          <w:sz w:val="24"/>
          <w:szCs w:val="24"/>
        </w:rPr>
        <w:t xml:space="preserve">evertheless, some financial institutions have changed the rules of the game in the Insurance industry. </w:t>
      </w:r>
      <w:r w:rsidR="002A07F7">
        <w:rPr>
          <w:rFonts w:ascii="Times New Roman" w:hAnsi="Times New Roman" w:cs="Times New Roman"/>
          <w:iCs/>
          <w:sz w:val="24"/>
          <w:szCs w:val="24"/>
        </w:rPr>
        <w:t xml:space="preserve">Today </w:t>
      </w:r>
      <w:r w:rsidR="005D739E" w:rsidRPr="005D739E">
        <w:rPr>
          <w:rFonts w:ascii="Times New Roman" w:hAnsi="Times New Roman" w:cs="Times New Roman"/>
          <w:sz w:val="24"/>
          <w:szCs w:val="24"/>
        </w:rPr>
        <w:t>Insurance companies are also effectively using technology to better meet customer demands by better integrating technology with the whole policy sales cycle. They are focusing on speeding up the complete insurance distribution process while also identifying processes that can be automated—improving efficiency and profitability. These initiatives are enabling insurance firms to scale up their business models by strengthening their internal processes with a goal of better customer service.</w:t>
      </w:r>
    </w:p>
    <w:p w:rsidR="005179F2" w:rsidRPr="005179F2" w:rsidRDefault="005179F2" w:rsidP="005179F2">
      <w:pPr>
        <w:pStyle w:val="ListParagraph"/>
        <w:tabs>
          <w:tab w:val="left" w:pos="0"/>
        </w:tabs>
        <w:ind w:left="0" w:hanging="90"/>
        <w:jc w:val="both"/>
        <w:rPr>
          <w:rFonts w:ascii="Times New Roman" w:hAnsi="Times New Roman" w:cs="Times New Roman"/>
          <w:b/>
          <w:sz w:val="24"/>
          <w:szCs w:val="24"/>
        </w:rPr>
      </w:pPr>
    </w:p>
    <w:p w:rsidR="005D739E" w:rsidRPr="005D739E" w:rsidRDefault="005D739E" w:rsidP="005179F2">
      <w:pPr>
        <w:pStyle w:val="ListParagraph"/>
        <w:ind w:left="0" w:firstLine="360"/>
        <w:jc w:val="both"/>
        <w:rPr>
          <w:rFonts w:ascii="Times New Roman" w:hAnsi="Times New Roman" w:cs="Times New Roman"/>
          <w:sz w:val="24"/>
          <w:szCs w:val="24"/>
        </w:rPr>
      </w:pPr>
      <w:r w:rsidRPr="005D739E">
        <w:rPr>
          <w:rFonts w:ascii="Times New Roman" w:hAnsi="Times New Roman" w:cs="Times New Roman"/>
          <w:sz w:val="24"/>
          <w:szCs w:val="24"/>
        </w:rPr>
        <w:t>This paper is an attempt to understand and discuss the various issues that the Indian insurance industry is dealing with, and to bring to the fore emerging trends that will shape the growth and profitability of the industry in the near to medium term future.</w:t>
      </w:r>
    </w:p>
    <w:p w:rsidR="00A210F8" w:rsidRDefault="00A210F8" w:rsidP="00A210F8">
      <w:pPr>
        <w:pStyle w:val="ListParagraph"/>
        <w:rPr>
          <w:rFonts w:ascii="Times New Roman" w:hAnsi="Times New Roman" w:cs="Times New Roman"/>
          <w:sz w:val="24"/>
          <w:szCs w:val="24"/>
        </w:rPr>
      </w:pPr>
    </w:p>
    <w:p w:rsidR="00281D61" w:rsidRDefault="00281D61" w:rsidP="007B0684">
      <w:pPr>
        <w:tabs>
          <w:tab w:val="left" w:pos="-90"/>
        </w:tabs>
        <w:ind w:left="0"/>
        <w:rPr>
          <w:rFonts w:ascii="Times New Roman" w:hAnsi="Times New Roman" w:cs="Times New Roman"/>
          <w:sz w:val="24"/>
          <w:szCs w:val="24"/>
        </w:rPr>
      </w:pPr>
      <w:r w:rsidRPr="0095545C">
        <w:rPr>
          <w:rFonts w:ascii="Times New Roman" w:hAnsi="Times New Roman" w:cs="Times New Roman"/>
          <w:b/>
          <w:sz w:val="24"/>
          <w:szCs w:val="24"/>
        </w:rPr>
        <w:t>OBJECTIVES OF THE PAPER:</w:t>
      </w:r>
    </w:p>
    <w:p w:rsidR="001D0AC3" w:rsidRDefault="00573B72" w:rsidP="00573B72">
      <w:pPr>
        <w:tabs>
          <w:tab w:val="left" w:pos="360"/>
        </w:tabs>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001D0AC3">
        <w:rPr>
          <w:rFonts w:ascii="Times New Roman" w:hAnsi="Times New Roman" w:cs="Times New Roman"/>
          <w:sz w:val="24"/>
          <w:szCs w:val="24"/>
        </w:rPr>
        <w:t>To take an overview of the global insurance industry</w:t>
      </w:r>
    </w:p>
    <w:p w:rsidR="001D0AC3" w:rsidRDefault="001D0AC3" w:rsidP="00573B72">
      <w:pPr>
        <w:tabs>
          <w:tab w:val="left" w:pos="360"/>
        </w:tabs>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2. To take a look at the scenario of the Indian insurance industry</w:t>
      </w:r>
      <w:r w:rsidR="0095545C">
        <w:rPr>
          <w:rFonts w:ascii="Times New Roman" w:hAnsi="Times New Roman" w:cs="Times New Roman"/>
          <w:sz w:val="24"/>
          <w:szCs w:val="24"/>
        </w:rPr>
        <w:t>.</w:t>
      </w:r>
    </w:p>
    <w:p w:rsidR="00A075C6" w:rsidRDefault="00A075C6" w:rsidP="00573B72">
      <w:pPr>
        <w:tabs>
          <w:tab w:val="left" w:pos="360"/>
        </w:tabs>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3. To </w:t>
      </w:r>
      <w:r w:rsidR="001C7798">
        <w:rPr>
          <w:rFonts w:ascii="Times New Roman" w:hAnsi="Times New Roman" w:cs="Times New Roman"/>
          <w:sz w:val="24"/>
          <w:szCs w:val="24"/>
        </w:rPr>
        <w:t xml:space="preserve">understand and discuss various issues </w:t>
      </w:r>
      <w:r w:rsidR="005C55DF">
        <w:rPr>
          <w:rFonts w:ascii="Times New Roman" w:hAnsi="Times New Roman" w:cs="Times New Roman"/>
          <w:sz w:val="24"/>
          <w:szCs w:val="24"/>
        </w:rPr>
        <w:t>in the Indian Insurance sector</w:t>
      </w:r>
      <w:r w:rsidR="0095545C">
        <w:rPr>
          <w:rFonts w:ascii="Times New Roman" w:hAnsi="Times New Roman" w:cs="Times New Roman"/>
          <w:sz w:val="24"/>
          <w:szCs w:val="24"/>
        </w:rPr>
        <w:t>.</w:t>
      </w:r>
    </w:p>
    <w:p w:rsidR="00573B72" w:rsidRDefault="0095545C" w:rsidP="00A075C6">
      <w:pPr>
        <w:tabs>
          <w:tab w:val="left" w:pos="360"/>
        </w:tabs>
        <w:autoSpaceDE w:val="0"/>
        <w:autoSpaceDN w:val="0"/>
        <w:adjustRightInd w:val="0"/>
        <w:spacing w:line="240" w:lineRule="auto"/>
        <w:ind w:left="0"/>
        <w:rPr>
          <w:rFonts w:ascii="Times New Roman" w:hAnsi="Times New Roman" w:cs="Times New Roman"/>
          <w:color w:val="000000"/>
          <w:sz w:val="24"/>
          <w:szCs w:val="24"/>
        </w:rPr>
      </w:pPr>
      <w:r>
        <w:rPr>
          <w:rFonts w:ascii="Times New Roman" w:hAnsi="Times New Roman" w:cs="Times New Roman"/>
          <w:sz w:val="24"/>
          <w:szCs w:val="24"/>
        </w:rPr>
        <w:t>4</w:t>
      </w:r>
      <w:r w:rsidR="001D0AC3">
        <w:rPr>
          <w:rFonts w:ascii="Times New Roman" w:hAnsi="Times New Roman" w:cs="Times New Roman"/>
          <w:sz w:val="24"/>
          <w:szCs w:val="24"/>
        </w:rPr>
        <w:t>. To</w:t>
      </w:r>
      <w:r w:rsidR="00573B72">
        <w:rPr>
          <w:rFonts w:ascii="Times New Roman" w:hAnsi="Times New Roman" w:cs="Times New Roman"/>
          <w:sz w:val="24"/>
          <w:szCs w:val="24"/>
        </w:rPr>
        <w:t xml:space="preserve"> </w:t>
      </w:r>
      <w:r w:rsidR="00A075C6">
        <w:rPr>
          <w:rFonts w:ascii="Times New Roman" w:hAnsi="Times New Roman" w:cs="Times New Roman"/>
          <w:sz w:val="24"/>
          <w:szCs w:val="24"/>
        </w:rPr>
        <w:t>study the new alternate channels</w:t>
      </w:r>
      <w:r w:rsidR="00F34C70">
        <w:rPr>
          <w:rFonts w:ascii="Times New Roman" w:hAnsi="Times New Roman" w:cs="Times New Roman"/>
          <w:sz w:val="24"/>
          <w:szCs w:val="24"/>
        </w:rPr>
        <w:t xml:space="preserve"> and innovative</w:t>
      </w:r>
      <w:r w:rsidR="009D7B87">
        <w:rPr>
          <w:rFonts w:ascii="Times New Roman" w:hAnsi="Times New Roman" w:cs="Times New Roman"/>
          <w:sz w:val="24"/>
          <w:szCs w:val="24"/>
        </w:rPr>
        <w:t xml:space="preserve"> models</w:t>
      </w:r>
      <w:r w:rsidR="00A075C6">
        <w:rPr>
          <w:rFonts w:ascii="Times New Roman" w:hAnsi="Times New Roman" w:cs="Times New Roman"/>
          <w:sz w:val="24"/>
          <w:szCs w:val="24"/>
        </w:rPr>
        <w:t xml:space="preserve"> to promote Insurance</w:t>
      </w:r>
      <w:r>
        <w:rPr>
          <w:rFonts w:ascii="Times New Roman" w:hAnsi="Times New Roman" w:cs="Times New Roman"/>
          <w:sz w:val="24"/>
          <w:szCs w:val="24"/>
        </w:rPr>
        <w:t>.</w:t>
      </w:r>
    </w:p>
    <w:p w:rsidR="00C22CD9" w:rsidRPr="0035153E" w:rsidRDefault="00573B72" w:rsidP="001D0AC3">
      <w:pPr>
        <w:tabs>
          <w:tab w:val="left" w:pos="360"/>
        </w:tabs>
        <w:autoSpaceDE w:val="0"/>
        <w:autoSpaceDN w:val="0"/>
        <w:adjustRightInd w:val="0"/>
        <w:spacing w:line="240" w:lineRule="auto"/>
        <w:ind w:left="0" w:hanging="270"/>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81D61" w:rsidRPr="0095545C" w:rsidRDefault="002A07F7" w:rsidP="00281D61">
      <w:pPr>
        <w:tabs>
          <w:tab w:val="left" w:pos="360"/>
        </w:tabs>
        <w:ind w:left="0"/>
        <w:rPr>
          <w:rFonts w:ascii="Times New Roman" w:hAnsi="Times New Roman" w:cs="Times New Roman"/>
          <w:b/>
          <w:sz w:val="24"/>
          <w:szCs w:val="24"/>
        </w:rPr>
      </w:pPr>
      <w:r w:rsidRPr="0095545C">
        <w:rPr>
          <w:rFonts w:ascii="Times New Roman" w:hAnsi="Times New Roman" w:cs="Times New Roman"/>
          <w:b/>
          <w:sz w:val="24"/>
          <w:szCs w:val="24"/>
        </w:rPr>
        <w:t>THE GLOBAL INSURANCE INDUSTRY:</w:t>
      </w:r>
    </w:p>
    <w:p w:rsidR="005179F2" w:rsidRDefault="002A07F7" w:rsidP="001D0AC3">
      <w:pPr>
        <w:autoSpaceDE w:val="0"/>
        <w:autoSpaceDN w:val="0"/>
        <w:adjustRightInd w:val="0"/>
        <w:spacing w:line="240" w:lineRule="auto"/>
        <w:ind w:left="0"/>
        <w:jc w:val="both"/>
        <w:rPr>
          <w:rFonts w:ascii="Times New Roman" w:hAnsi="Times New Roman" w:cs="Times New Roman"/>
          <w:sz w:val="24"/>
          <w:szCs w:val="24"/>
        </w:rPr>
      </w:pPr>
      <w:r w:rsidRPr="002A07F7">
        <w:rPr>
          <w:rFonts w:ascii="Times New Roman" w:hAnsi="Times New Roman" w:cs="Times New Roman"/>
          <w:sz w:val="24"/>
          <w:szCs w:val="24"/>
        </w:rPr>
        <w:t xml:space="preserve">Global insurance industry premium volume returned to positive growth in 2010, after declining for two years during the financial crisis. Total premium volume rose to US$4.3 trillion in 2010, a growth of 5.6% over 2009. The rise in premium volume was aided by the overall improvement in the global economy in 2010, with growth witnessed across both life and non-life insurance. While the growth has been higher in Asian and other emerging markets, it was relatively lower in the U.S. and Western European markets. </w:t>
      </w:r>
      <w:r w:rsidR="0044252C" w:rsidRPr="001D0AC3">
        <w:rPr>
          <w:rFonts w:ascii="Times New Roman" w:hAnsi="Times New Roman" w:cs="Times New Roman"/>
          <w:sz w:val="24"/>
          <w:szCs w:val="24"/>
        </w:rPr>
        <w:t xml:space="preserve">As per the World Insurance Report, published by the reinsurance major “Swiss Re”, the global direct premium during 2011 dropped by 0.8 per cent against a surge at 2.7 per cent growth witnessed in the previous year. Globally, life insurance premium accounted for 57 per cent of total insurance premium. This share is higher in advanced economies than in the emerging markets. During 2011, global life insurance premium dropped by 2.7 per cent to USD 2627 billion. The premium volume fell in Western Europe, China and India, whereas, it rose in Middle East and Latin America. </w:t>
      </w:r>
    </w:p>
    <w:p w:rsidR="005179F2" w:rsidRDefault="005179F2" w:rsidP="001D0AC3">
      <w:pPr>
        <w:autoSpaceDE w:val="0"/>
        <w:autoSpaceDN w:val="0"/>
        <w:adjustRightInd w:val="0"/>
        <w:spacing w:line="240" w:lineRule="auto"/>
        <w:ind w:left="0"/>
        <w:jc w:val="both"/>
        <w:rPr>
          <w:rFonts w:ascii="Times New Roman" w:hAnsi="Times New Roman" w:cs="Times New Roman"/>
          <w:sz w:val="24"/>
          <w:szCs w:val="24"/>
        </w:rPr>
      </w:pPr>
    </w:p>
    <w:p w:rsidR="005179F2" w:rsidRDefault="0044252C" w:rsidP="001D0AC3">
      <w:pPr>
        <w:autoSpaceDE w:val="0"/>
        <w:autoSpaceDN w:val="0"/>
        <w:adjustRightInd w:val="0"/>
        <w:spacing w:line="240" w:lineRule="auto"/>
        <w:ind w:left="0"/>
        <w:jc w:val="both"/>
        <w:rPr>
          <w:rFonts w:ascii="Times New Roman" w:hAnsi="Times New Roman" w:cs="Times New Roman"/>
          <w:sz w:val="24"/>
          <w:szCs w:val="24"/>
        </w:rPr>
      </w:pPr>
      <w:r w:rsidRPr="001D0AC3">
        <w:rPr>
          <w:rFonts w:ascii="Times New Roman" w:hAnsi="Times New Roman" w:cs="Times New Roman"/>
          <w:sz w:val="24"/>
          <w:szCs w:val="24"/>
        </w:rPr>
        <w:t>On the other hand, the premium in non-life insurance business grew by 1.9 per cent. Latin America r</w:t>
      </w:r>
      <w:r w:rsidR="00441917">
        <w:rPr>
          <w:rFonts w:ascii="Times New Roman" w:hAnsi="Times New Roman" w:cs="Times New Roman"/>
          <w:sz w:val="24"/>
          <w:szCs w:val="24"/>
        </w:rPr>
        <w:t>eported remarkably high growth. However</w:t>
      </w:r>
      <w:r w:rsidR="007A32CB">
        <w:rPr>
          <w:rFonts w:ascii="Times New Roman" w:hAnsi="Times New Roman" w:cs="Times New Roman"/>
          <w:sz w:val="24"/>
          <w:szCs w:val="24"/>
        </w:rPr>
        <w:t xml:space="preserve"> direct premiums reached a record high of USD 4597 billion in 2011 in nominal terms increasing 6% over 2010 as the US dollar depreciated against the  major currencies.</w:t>
      </w:r>
      <w:r w:rsidR="00441917">
        <w:rPr>
          <w:rFonts w:ascii="Times New Roman" w:hAnsi="Times New Roman" w:cs="Times New Roman"/>
          <w:sz w:val="24"/>
          <w:szCs w:val="24"/>
        </w:rPr>
        <w:t xml:space="preserve"> </w:t>
      </w:r>
      <w:r w:rsidRPr="001D0AC3">
        <w:rPr>
          <w:rFonts w:ascii="Times New Roman" w:hAnsi="Times New Roman" w:cs="Times New Roman"/>
          <w:sz w:val="24"/>
          <w:szCs w:val="24"/>
        </w:rPr>
        <w:t xml:space="preserve">The Report mentions that the year 2011 witnessed exceptionally high catastrophe losses in Japan, Australia, and the United States, while European countries generally enjoyed low catastrophe claims. In 2011, total economic losses to Society due to disasters (both insured and uninsured) reached an estimated USD 370 billion, compared to USD 226 billion in 2010. </w:t>
      </w:r>
    </w:p>
    <w:p w:rsidR="0044252C" w:rsidRPr="001D0AC3" w:rsidRDefault="0044252C" w:rsidP="001D0AC3">
      <w:pPr>
        <w:autoSpaceDE w:val="0"/>
        <w:autoSpaceDN w:val="0"/>
        <w:adjustRightInd w:val="0"/>
        <w:spacing w:line="240" w:lineRule="auto"/>
        <w:ind w:left="0"/>
        <w:jc w:val="both"/>
        <w:rPr>
          <w:rFonts w:ascii="Times New Roman" w:hAnsi="Times New Roman" w:cs="Times New Roman"/>
          <w:sz w:val="24"/>
          <w:szCs w:val="24"/>
        </w:rPr>
      </w:pPr>
      <w:r w:rsidRPr="001D0AC3">
        <w:rPr>
          <w:rFonts w:ascii="Times New Roman" w:hAnsi="Times New Roman" w:cs="Times New Roman"/>
          <w:sz w:val="24"/>
          <w:szCs w:val="24"/>
        </w:rPr>
        <w:lastRenderedPageBreak/>
        <w:t xml:space="preserve">The earthquake in Japan, the country’s worst on record in terms of magnitude, alone accounted for 57 percent of global economic losses. The insured losses from natural catastrophes appeared to be to the tune of USD 110 billion. </w:t>
      </w:r>
    </w:p>
    <w:p w:rsidR="002A07F7" w:rsidRDefault="002A07F7" w:rsidP="002A07F7">
      <w:pPr>
        <w:autoSpaceDE w:val="0"/>
        <w:autoSpaceDN w:val="0"/>
        <w:adjustRightInd w:val="0"/>
        <w:spacing w:line="240" w:lineRule="auto"/>
        <w:ind w:left="0"/>
        <w:rPr>
          <w:rFonts w:ascii="Times New Roman" w:hAnsi="Times New Roman" w:cs="Times New Roman"/>
          <w:sz w:val="24"/>
          <w:szCs w:val="24"/>
        </w:rPr>
      </w:pPr>
    </w:p>
    <w:p w:rsidR="002A07F7" w:rsidRDefault="003353A2" w:rsidP="002A07F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GRAPH</w:t>
      </w:r>
      <w:r w:rsidR="002A07F7">
        <w:rPr>
          <w:rFonts w:ascii="Times New Roman" w:hAnsi="Times New Roman" w:cs="Times New Roman"/>
          <w:sz w:val="24"/>
          <w:szCs w:val="24"/>
        </w:rPr>
        <w:t xml:space="preserve"> 1: Global Life and Non-life insurance Pr</w:t>
      </w:r>
      <w:r w:rsidR="00432951">
        <w:rPr>
          <w:rFonts w:ascii="Times New Roman" w:hAnsi="Times New Roman" w:cs="Times New Roman"/>
          <w:sz w:val="24"/>
          <w:szCs w:val="24"/>
        </w:rPr>
        <w:t>emium Volumes(USD bnd) 2008-2010</w:t>
      </w:r>
    </w:p>
    <w:p w:rsidR="002A07F7" w:rsidRDefault="002A07F7" w:rsidP="002A07F7">
      <w:pPr>
        <w:autoSpaceDE w:val="0"/>
        <w:autoSpaceDN w:val="0"/>
        <w:adjustRightInd w:val="0"/>
        <w:spacing w:line="240" w:lineRule="auto"/>
        <w:ind w:left="0"/>
        <w:rPr>
          <w:rFonts w:ascii="Times New Roman" w:hAnsi="Times New Roman" w:cs="Times New Roman"/>
          <w:sz w:val="24"/>
          <w:szCs w:val="24"/>
        </w:rPr>
      </w:pPr>
    </w:p>
    <w:p w:rsidR="002A07F7" w:rsidRDefault="0035153E" w:rsidP="002A07F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486400" cy="32004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3E30" w:rsidRPr="00CF597D" w:rsidRDefault="0095545C" w:rsidP="002A07F7">
      <w:pPr>
        <w:autoSpaceDE w:val="0"/>
        <w:autoSpaceDN w:val="0"/>
        <w:adjustRightInd w:val="0"/>
        <w:spacing w:line="240" w:lineRule="auto"/>
        <w:ind w:left="0"/>
        <w:rPr>
          <w:rFonts w:ascii="Times New Roman" w:hAnsi="Times New Roman" w:cs="Times New Roman"/>
        </w:rPr>
      </w:pPr>
      <w:r w:rsidRPr="0095545C">
        <w:rPr>
          <w:rFonts w:ascii="Times New Roman" w:hAnsi="Times New Roman" w:cs="Times New Roman"/>
        </w:rPr>
        <w:t>Source: Capgemini Analysis, 2012; World Insurance in 2009, 2010, Swiss R</w:t>
      </w:r>
      <w:r w:rsidR="00CF597D">
        <w:rPr>
          <w:rFonts w:ascii="Times New Roman" w:hAnsi="Times New Roman" w:cs="Times New Roman"/>
        </w:rPr>
        <w:t>e</w:t>
      </w:r>
    </w:p>
    <w:p w:rsidR="007B0684" w:rsidRDefault="007B0684" w:rsidP="002A07F7">
      <w:pPr>
        <w:autoSpaceDE w:val="0"/>
        <w:autoSpaceDN w:val="0"/>
        <w:adjustRightInd w:val="0"/>
        <w:spacing w:line="240" w:lineRule="auto"/>
        <w:ind w:left="0"/>
        <w:rPr>
          <w:rFonts w:ascii="Times New Roman" w:hAnsi="Times New Roman" w:cs="Times New Roman"/>
          <w:b/>
          <w:sz w:val="24"/>
          <w:szCs w:val="24"/>
        </w:rPr>
      </w:pPr>
    </w:p>
    <w:p w:rsidR="002A07F7" w:rsidRPr="0095545C" w:rsidRDefault="002A07F7" w:rsidP="002A07F7">
      <w:pPr>
        <w:autoSpaceDE w:val="0"/>
        <w:autoSpaceDN w:val="0"/>
        <w:adjustRightInd w:val="0"/>
        <w:spacing w:line="240" w:lineRule="auto"/>
        <w:ind w:left="0"/>
        <w:rPr>
          <w:rFonts w:ascii="Times New Roman" w:hAnsi="Times New Roman" w:cs="Times New Roman"/>
          <w:b/>
          <w:sz w:val="24"/>
          <w:szCs w:val="24"/>
        </w:rPr>
      </w:pPr>
      <w:r w:rsidRPr="0095545C">
        <w:rPr>
          <w:rFonts w:ascii="Times New Roman" w:hAnsi="Times New Roman" w:cs="Times New Roman"/>
          <w:b/>
          <w:sz w:val="24"/>
          <w:szCs w:val="24"/>
        </w:rPr>
        <w:t>INDIAN INSURANCE INDUSTRY</w:t>
      </w:r>
      <w:r w:rsidR="00196478" w:rsidRPr="0095545C">
        <w:rPr>
          <w:rFonts w:ascii="Times New Roman" w:hAnsi="Times New Roman" w:cs="Times New Roman"/>
          <w:b/>
          <w:sz w:val="24"/>
          <w:szCs w:val="24"/>
        </w:rPr>
        <w:t xml:space="preserve">: </w:t>
      </w:r>
      <w:r w:rsidR="00450225" w:rsidRPr="0095545C">
        <w:rPr>
          <w:rFonts w:ascii="Times New Roman" w:hAnsi="Times New Roman" w:cs="Times New Roman"/>
          <w:b/>
          <w:sz w:val="24"/>
          <w:szCs w:val="24"/>
        </w:rPr>
        <w:t>OVERVIEW</w:t>
      </w:r>
    </w:p>
    <w:p w:rsidR="00722D89" w:rsidRPr="00613E30" w:rsidRDefault="00722D89" w:rsidP="002A07F7">
      <w:pPr>
        <w:autoSpaceDE w:val="0"/>
        <w:autoSpaceDN w:val="0"/>
        <w:adjustRightInd w:val="0"/>
        <w:spacing w:line="240" w:lineRule="auto"/>
        <w:ind w:left="0"/>
        <w:rPr>
          <w:rFonts w:ascii="Times New Roman" w:hAnsi="Times New Roman" w:cs="Times New Roman"/>
          <w:sz w:val="24"/>
          <w:szCs w:val="24"/>
        </w:rPr>
      </w:pPr>
    </w:p>
    <w:p w:rsidR="00722D89" w:rsidRDefault="00722D89" w:rsidP="001C7798">
      <w:pPr>
        <w:autoSpaceDE w:val="0"/>
        <w:autoSpaceDN w:val="0"/>
        <w:adjustRightInd w:val="0"/>
        <w:spacing w:line="240" w:lineRule="auto"/>
        <w:ind w:left="0"/>
        <w:jc w:val="both"/>
        <w:rPr>
          <w:rFonts w:ascii="Times New Roman" w:hAnsi="Times New Roman" w:cs="Times New Roman"/>
          <w:sz w:val="24"/>
          <w:szCs w:val="24"/>
        </w:rPr>
      </w:pPr>
      <w:r w:rsidRPr="00613E30">
        <w:rPr>
          <w:rFonts w:ascii="Times New Roman" w:hAnsi="Times New Roman" w:cs="Times New Roman"/>
          <w:sz w:val="24"/>
          <w:szCs w:val="24"/>
        </w:rPr>
        <w:t>In 1818, a British company called Oriental Life Insurance setup the first insurance firm in India followed by the</w:t>
      </w:r>
      <w:r w:rsidR="00F96A7D">
        <w:rPr>
          <w:rFonts w:ascii="Times New Roman" w:hAnsi="Times New Roman" w:cs="Times New Roman"/>
          <w:sz w:val="24"/>
          <w:szCs w:val="24"/>
        </w:rPr>
        <w:t xml:space="preserve"> </w:t>
      </w:r>
      <w:r w:rsidRPr="00613E30">
        <w:rPr>
          <w:rFonts w:ascii="Times New Roman" w:hAnsi="Times New Roman" w:cs="Times New Roman"/>
          <w:sz w:val="24"/>
          <w:szCs w:val="24"/>
        </w:rPr>
        <w:t>Bombay Assurance Company in 1823 and the Madras Equitable Life</w:t>
      </w:r>
      <w:r w:rsidR="0035153E" w:rsidRPr="00613E30">
        <w:rPr>
          <w:rFonts w:ascii="Times New Roman" w:hAnsi="Times New Roman" w:cs="Times New Roman"/>
          <w:sz w:val="24"/>
          <w:szCs w:val="24"/>
        </w:rPr>
        <w:t xml:space="preserve"> </w:t>
      </w:r>
      <w:r w:rsidRPr="00613E30">
        <w:rPr>
          <w:rFonts w:ascii="Times New Roman" w:hAnsi="Times New Roman" w:cs="Times New Roman"/>
          <w:sz w:val="24"/>
          <w:szCs w:val="24"/>
        </w:rPr>
        <w:t>Insurance Society in 1829. Though all this companies were operating in India but insuring the life of European</w:t>
      </w:r>
      <w:r w:rsidR="0035153E" w:rsidRPr="00613E30">
        <w:rPr>
          <w:rFonts w:ascii="Times New Roman" w:hAnsi="Times New Roman" w:cs="Times New Roman"/>
          <w:sz w:val="24"/>
          <w:szCs w:val="24"/>
        </w:rPr>
        <w:t xml:space="preserve"> </w:t>
      </w:r>
      <w:r w:rsidRPr="00613E30">
        <w:rPr>
          <w:rFonts w:ascii="Times New Roman" w:hAnsi="Times New Roman" w:cs="Times New Roman"/>
          <w:sz w:val="24"/>
          <w:szCs w:val="24"/>
        </w:rPr>
        <w:t>living in India only. Later some of the companies started providing insurance to Indians with approximately</w:t>
      </w:r>
      <w:r w:rsidR="0035153E" w:rsidRPr="00613E30">
        <w:rPr>
          <w:rFonts w:ascii="Times New Roman" w:hAnsi="Times New Roman" w:cs="Times New Roman"/>
          <w:sz w:val="24"/>
          <w:szCs w:val="24"/>
        </w:rPr>
        <w:t xml:space="preserve"> </w:t>
      </w:r>
      <w:r w:rsidRPr="00613E30">
        <w:rPr>
          <w:rFonts w:ascii="Times New Roman" w:hAnsi="Times New Roman" w:cs="Times New Roman"/>
          <w:sz w:val="24"/>
          <w:szCs w:val="24"/>
        </w:rPr>
        <w:t>20% higher premium than Europeans as Indians were treated as “substandard”. Substandard in insurance</w:t>
      </w:r>
      <w:r w:rsidR="0035153E" w:rsidRPr="00613E30">
        <w:rPr>
          <w:rFonts w:ascii="Times New Roman" w:hAnsi="Times New Roman" w:cs="Times New Roman"/>
          <w:sz w:val="24"/>
          <w:szCs w:val="24"/>
        </w:rPr>
        <w:t xml:space="preserve"> </w:t>
      </w:r>
      <w:r w:rsidRPr="00613E30">
        <w:rPr>
          <w:rFonts w:ascii="Times New Roman" w:hAnsi="Times New Roman" w:cs="Times New Roman"/>
          <w:sz w:val="24"/>
          <w:szCs w:val="24"/>
        </w:rPr>
        <w:t>parlance refers to lives with physical disability. Bombay Mutual Life Assurance Society was the first company</w:t>
      </w:r>
      <w:r w:rsidR="0035153E" w:rsidRPr="00613E30">
        <w:rPr>
          <w:rFonts w:ascii="Times New Roman" w:hAnsi="Times New Roman" w:cs="Times New Roman"/>
          <w:sz w:val="24"/>
          <w:szCs w:val="24"/>
        </w:rPr>
        <w:t xml:space="preserve"> </w:t>
      </w:r>
      <w:r w:rsidRPr="00613E30">
        <w:rPr>
          <w:rFonts w:ascii="Times New Roman" w:hAnsi="Times New Roman" w:cs="Times New Roman"/>
          <w:sz w:val="24"/>
          <w:szCs w:val="24"/>
        </w:rPr>
        <w:t>established in 1871 which started selling policies to Indians with “fair value”.</w:t>
      </w:r>
      <w:r w:rsidR="001C7798">
        <w:rPr>
          <w:rFonts w:ascii="Times New Roman" w:hAnsi="Times New Roman" w:cs="Times New Roman"/>
          <w:sz w:val="24"/>
          <w:szCs w:val="24"/>
        </w:rPr>
        <w:t xml:space="preserve"> </w:t>
      </w:r>
      <w:r w:rsidRPr="00613E30">
        <w:rPr>
          <w:rFonts w:ascii="Times New Roman" w:hAnsi="Times New Roman" w:cs="Times New Roman"/>
          <w:sz w:val="24"/>
          <w:szCs w:val="24"/>
        </w:rPr>
        <w:t>Insurance business was subjected to Indian company act1866, without any specific regulation. In 1905, the</w:t>
      </w:r>
      <w:r w:rsidR="00613E30">
        <w:rPr>
          <w:rFonts w:ascii="Times New Roman" w:hAnsi="Times New Roman" w:cs="Times New Roman"/>
          <w:sz w:val="24"/>
          <w:szCs w:val="24"/>
        </w:rPr>
        <w:t xml:space="preserve"> </w:t>
      </w:r>
      <w:r w:rsidRPr="00613E30">
        <w:rPr>
          <w:rFonts w:ascii="Times New Roman" w:hAnsi="Times New Roman" w:cs="Times New Roman"/>
          <w:sz w:val="24"/>
          <w:szCs w:val="24"/>
        </w:rPr>
        <w:t>slogan “Be Indian-Buy Indian” declared by Swad</w:t>
      </w:r>
      <w:r w:rsidR="00F853B2" w:rsidRPr="00613E30">
        <w:rPr>
          <w:rFonts w:ascii="Times New Roman" w:hAnsi="Times New Roman" w:cs="Times New Roman"/>
          <w:sz w:val="24"/>
          <w:szCs w:val="24"/>
        </w:rPr>
        <w:t>e</w:t>
      </w:r>
      <w:r w:rsidRPr="00613E30">
        <w:rPr>
          <w:rFonts w:ascii="Times New Roman" w:hAnsi="Times New Roman" w:cs="Times New Roman"/>
          <w:sz w:val="24"/>
          <w:szCs w:val="24"/>
        </w:rPr>
        <w:t>shi Movement gave birth to dozens of indigenous life</w:t>
      </w:r>
      <w:r w:rsidR="00613E30">
        <w:rPr>
          <w:rFonts w:ascii="Times New Roman" w:hAnsi="Times New Roman" w:cs="Times New Roman"/>
          <w:sz w:val="24"/>
          <w:szCs w:val="24"/>
        </w:rPr>
        <w:t xml:space="preserve"> </w:t>
      </w:r>
      <w:r w:rsidRPr="00613E30">
        <w:rPr>
          <w:rFonts w:ascii="Times New Roman" w:hAnsi="Times New Roman" w:cs="Times New Roman"/>
          <w:sz w:val="24"/>
          <w:szCs w:val="24"/>
        </w:rPr>
        <w:t>insurance and provident fund companies.</w:t>
      </w:r>
      <w:r w:rsidR="00613E30">
        <w:rPr>
          <w:rFonts w:ascii="Times New Roman" w:hAnsi="Times New Roman" w:cs="Times New Roman"/>
          <w:sz w:val="24"/>
          <w:szCs w:val="24"/>
        </w:rPr>
        <w:t xml:space="preserve"> </w:t>
      </w:r>
      <w:r w:rsidRPr="00613E30">
        <w:rPr>
          <w:rFonts w:ascii="Times New Roman" w:hAnsi="Times New Roman" w:cs="Times New Roman"/>
          <w:sz w:val="24"/>
          <w:szCs w:val="24"/>
        </w:rPr>
        <w:t>In 1937, the Government of India setup a consultative committee and finally first comprehensive ‘insurance act’</w:t>
      </w:r>
      <w:r w:rsidR="00613E30">
        <w:rPr>
          <w:rFonts w:ascii="Times New Roman" w:hAnsi="Times New Roman" w:cs="Times New Roman"/>
          <w:sz w:val="24"/>
          <w:szCs w:val="24"/>
        </w:rPr>
        <w:t xml:space="preserve"> </w:t>
      </w:r>
      <w:r w:rsidRPr="00613E30">
        <w:rPr>
          <w:rFonts w:ascii="Times New Roman" w:hAnsi="Times New Roman" w:cs="Times New Roman"/>
          <w:sz w:val="24"/>
          <w:szCs w:val="24"/>
        </w:rPr>
        <w:t>was passed in 1938.</w:t>
      </w:r>
    </w:p>
    <w:p w:rsidR="005179F2" w:rsidRPr="00613E30" w:rsidRDefault="005179F2" w:rsidP="001C7798">
      <w:pPr>
        <w:autoSpaceDE w:val="0"/>
        <w:autoSpaceDN w:val="0"/>
        <w:adjustRightInd w:val="0"/>
        <w:spacing w:line="240" w:lineRule="auto"/>
        <w:ind w:left="0"/>
        <w:jc w:val="both"/>
        <w:rPr>
          <w:rFonts w:ascii="Times New Roman" w:hAnsi="Times New Roman" w:cs="Times New Roman"/>
          <w:sz w:val="24"/>
          <w:szCs w:val="24"/>
        </w:rPr>
      </w:pPr>
    </w:p>
    <w:p w:rsidR="00CF597D" w:rsidRDefault="00613E30" w:rsidP="001C7798">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 O</w:t>
      </w:r>
      <w:r w:rsidR="00722D89" w:rsidRPr="00613E30">
        <w:rPr>
          <w:rFonts w:ascii="Times New Roman" w:hAnsi="Times New Roman" w:cs="Times New Roman"/>
          <w:sz w:val="24"/>
          <w:szCs w:val="24"/>
        </w:rPr>
        <w:t>ct.2000, IRDA (Insurance Regulatory and Development Authority) issued license paper to three companies,which are HDFC Life Standard, Sundaram Royal Alliance Insurance Company and Reliance General Insurance.At the same time “Principal approval” was given to Max New York Life, ICICI Prudential Life Insurance</w:t>
      </w:r>
      <w:r w:rsidR="00152F12">
        <w:rPr>
          <w:rFonts w:ascii="Times New Roman" w:hAnsi="Times New Roman" w:cs="Times New Roman"/>
          <w:sz w:val="24"/>
          <w:szCs w:val="24"/>
        </w:rPr>
        <w:t xml:space="preserve"> </w:t>
      </w:r>
      <w:r w:rsidR="00722D89" w:rsidRPr="00613E30">
        <w:rPr>
          <w:rFonts w:ascii="Times New Roman" w:hAnsi="Times New Roman" w:cs="Times New Roman"/>
          <w:sz w:val="24"/>
          <w:szCs w:val="24"/>
        </w:rPr>
        <w:t>Company and IFFCO Tokio General Insurance Company. Today total 22 life insurance companies including</w:t>
      </w:r>
      <w:r w:rsidR="00152F12">
        <w:rPr>
          <w:rFonts w:ascii="Times New Roman" w:hAnsi="Times New Roman" w:cs="Times New Roman"/>
          <w:sz w:val="24"/>
          <w:szCs w:val="24"/>
        </w:rPr>
        <w:t xml:space="preserve"> </w:t>
      </w:r>
      <w:r w:rsidR="00722D89" w:rsidRPr="00613E30">
        <w:rPr>
          <w:rFonts w:ascii="Times New Roman" w:hAnsi="Times New Roman" w:cs="Times New Roman"/>
          <w:sz w:val="24"/>
          <w:szCs w:val="24"/>
        </w:rPr>
        <w:t>one public sector are successfully operating in India</w:t>
      </w:r>
      <w:r w:rsidR="00CF597D">
        <w:rPr>
          <w:rFonts w:ascii="Times New Roman" w:hAnsi="Times New Roman" w:cs="Times New Roman"/>
          <w:sz w:val="24"/>
          <w:szCs w:val="24"/>
        </w:rPr>
        <w:t xml:space="preserve">. </w:t>
      </w:r>
      <w:r w:rsidR="00722D89" w:rsidRPr="00613E30">
        <w:rPr>
          <w:rFonts w:ascii="Times New Roman" w:hAnsi="Times New Roman" w:cs="Times New Roman"/>
          <w:sz w:val="24"/>
          <w:szCs w:val="24"/>
        </w:rPr>
        <w:t xml:space="preserve">After opening up of Insurance sectors, the capital requirements for starting a general or life insurance company is equity paid-up capital of Rs.100 crore and for starting a reinsurance company it is Rs.200 crore. As at end-September 2012, there are fifty-two insurance companies operating in India; of which </w:t>
      </w:r>
      <w:r w:rsidR="00722D89" w:rsidRPr="00613E30">
        <w:rPr>
          <w:rFonts w:ascii="Times New Roman" w:hAnsi="Times New Roman" w:cs="Times New Roman"/>
          <w:sz w:val="24"/>
          <w:szCs w:val="24"/>
        </w:rPr>
        <w:lastRenderedPageBreak/>
        <w:t>twenty four are in the life insurance business and twenty-seven are in non-life insurance business. In addition, General Insurance Corporation (GIC) is the sole national reinsurer.</w:t>
      </w:r>
    </w:p>
    <w:p w:rsidR="00722D89" w:rsidRPr="00613E30" w:rsidRDefault="00722D89" w:rsidP="001C7798">
      <w:pPr>
        <w:autoSpaceDE w:val="0"/>
        <w:autoSpaceDN w:val="0"/>
        <w:adjustRightInd w:val="0"/>
        <w:spacing w:line="240" w:lineRule="auto"/>
        <w:ind w:left="0"/>
        <w:jc w:val="both"/>
        <w:rPr>
          <w:rFonts w:ascii="Times New Roman" w:hAnsi="Times New Roman" w:cs="Times New Roman"/>
          <w:sz w:val="24"/>
          <w:szCs w:val="24"/>
        </w:rPr>
      </w:pPr>
      <w:r w:rsidRPr="00613E30">
        <w:rPr>
          <w:rFonts w:ascii="Times New Roman" w:hAnsi="Times New Roman" w:cs="Times New Roman"/>
          <w:sz w:val="24"/>
          <w:szCs w:val="24"/>
        </w:rPr>
        <w:t xml:space="preserve"> The life insurance industr</w:t>
      </w:r>
      <w:r w:rsidR="00152F12">
        <w:rPr>
          <w:rFonts w:ascii="Times New Roman" w:hAnsi="Times New Roman" w:cs="Times New Roman"/>
          <w:sz w:val="24"/>
          <w:szCs w:val="24"/>
        </w:rPr>
        <w:t xml:space="preserve">y recorded a premium income of </w:t>
      </w:r>
      <w:r w:rsidRPr="00613E30">
        <w:rPr>
          <w:rFonts w:ascii="Times New Roman" w:hAnsi="Times New Roman" w:cs="Times New Roman"/>
          <w:sz w:val="24"/>
          <w:szCs w:val="24"/>
        </w:rPr>
        <w:t xml:space="preserve">2, 87,072 crore during 2011-12 as against 2,91,639 crore in the previous financial year, registering a negative growth of </w:t>
      </w:r>
      <w:r w:rsidR="00013C94">
        <w:rPr>
          <w:rFonts w:ascii="Times New Roman" w:hAnsi="Times New Roman" w:cs="Times New Roman"/>
          <w:sz w:val="24"/>
          <w:szCs w:val="24"/>
        </w:rPr>
        <w:t>1.57 per cent as shown in table 1.</w:t>
      </w:r>
      <w:r w:rsidRPr="00613E30">
        <w:rPr>
          <w:rFonts w:ascii="Times New Roman" w:hAnsi="Times New Roman" w:cs="Times New Roman"/>
          <w:sz w:val="24"/>
          <w:szCs w:val="24"/>
        </w:rPr>
        <w:t>While private sector insurers posted 4.52 per cent decline (11.08 per cent growth in previous year) in their premium income, Life Insurance Corporation (LIC), the fully state owned insurance company, recorded 0.29 per cent decline (9.35 per cent growth in previous year), in its total premium underwritten</w:t>
      </w:r>
    </w:p>
    <w:p w:rsidR="00722D89" w:rsidRDefault="00722D89" w:rsidP="001C7798">
      <w:pPr>
        <w:autoSpaceDE w:val="0"/>
        <w:autoSpaceDN w:val="0"/>
        <w:adjustRightInd w:val="0"/>
        <w:spacing w:line="240" w:lineRule="auto"/>
        <w:ind w:left="0"/>
        <w:jc w:val="both"/>
        <w:rPr>
          <w:rFonts w:ascii="Times New Roman" w:hAnsi="Times New Roman" w:cs="Times New Roman"/>
          <w:sz w:val="24"/>
          <w:szCs w:val="24"/>
        </w:rPr>
      </w:pPr>
      <w:r w:rsidRPr="00613E30">
        <w:rPr>
          <w:rFonts w:ascii="Times New Roman" w:hAnsi="Times New Roman" w:cs="Times New Roman"/>
          <w:sz w:val="24"/>
          <w:szCs w:val="24"/>
        </w:rPr>
        <w:t xml:space="preserve">In the non-life segment, the insurers underwrote gross direct premium of </w:t>
      </w:r>
      <w:r w:rsidR="00013C94">
        <w:rPr>
          <w:rFonts w:ascii="Times New Roman" w:hAnsi="Times New Roman" w:cs="Times New Roman"/>
          <w:sz w:val="24"/>
          <w:szCs w:val="24"/>
        </w:rPr>
        <w:t>54578</w:t>
      </w:r>
      <w:r w:rsidRPr="00613E30">
        <w:rPr>
          <w:rFonts w:ascii="Times New Roman" w:hAnsi="Times New Roman" w:cs="Times New Roman"/>
          <w:sz w:val="24"/>
          <w:szCs w:val="24"/>
        </w:rPr>
        <w:t xml:space="preserve"> crore in India f</w:t>
      </w:r>
      <w:r w:rsidR="00013C94">
        <w:rPr>
          <w:rFonts w:ascii="Times New Roman" w:hAnsi="Times New Roman" w:cs="Times New Roman"/>
          <w:sz w:val="24"/>
          <w:szCs w:val="24"/>
        </w:rPr>
        <w:t>or the year 2011-12 as against 43842</w:t>
      </w:r>
      <w:r w:rsidRPr="00613E30">
        <w:rPr>
          <w:rFonts w:ascii="Times New Roman" w:hAnsi="Times New Roman" w:cs="Times New Roman"/>
          <w:sz w:val="24"/>
          <w:szCs w:val="24"/>
        </w:rPr>
        <w:t xml:space="preserve"> crore in 2010-11, registering a growth of 24.19 per cent as against an increase of 22.98 per cent recorded in the previous year</w:t>
      </w:r>
      <w:r w:rsidR="00013C94">
        <w:rPr>
          <w:rFonts w:ascii="Times New Roman" w:hAnsi="Times New Roman" w:cs="Times New Roman"/>
          <w:sz w:val="24"/>
          <w:szCs w:val="24"/>
        </w:rPr>
        <w:t xml:space="preserve"> (Table 1)</w:t>
      </w:r>
      <w:r w:rsidRPr="00613E30">
        <w:rPr>
          <w:rFonts w:ascii="Times New Roman" w:hAnsi="Times New Roman" w:cs="Times New Roman"/>
          <w:sz w:val="24"/>
          <w:szCs w:val="24"/>
        </w:rPr>
        <w:t>. The public sector insurers exhibited growth in 2011-12 at 21.50 per cent; as against the previous year’s growth rate of 21.84 percent. The private sector general insurers registered a growth of 28.06 per cent, which is higher than 24.67 percent achieved during the previous year.</w:t>
      </w:r>
    </w:p>
    <w:p w:rsidR="00C9199D" w:rsidRDefault="00C9199D" w:rsidP="001C7798">
      <w:pPr>
        <w:autoSpaceDE w:val="0"/>
        <w:autoSpaceDN w:val="0"/>
        <w:adjustRightInd w:val="0"/>
        <w:spacing w:line="240" w:lineRule="auto"/>
        <w:ind w:left="0"/>
        <w:jc w:val="both"/>
        <w:rPr>
          <w:rFonts w:ascii="Times New Roman" w:hAnsi="Times New Roman" w:cs="Times New Roman"/>
          <w:sz w:val="24"/>
          <w:szCs w:val="24"/>
        </w:rPr>
      </w:pPr>
    </w:p>
    <w:p w:rsidR="00C9199D" w:rsidRPr="00013C94" w:rsidRDefault="00013C94" w:rsidP="00013C94">
      <w:pPr>
        <w:autoSpaceDE w:val="0"/>
        <w:autoSpaceDN w:val="0"/>
        <w:adjustRightInd w:val="0"/>
        <w:spacing w:line="240" w:lineRule="auto"/>
        <w:ind w:left="4320" w:hanging="4320"/>
        <w:jc w:val="both"/>
        <w:rPr>
          <w:rFonts w:ascii="Times New Roman" w:hAnsi="Times New Roman" w:cs="Times New Roman"/>
          <w:b/>
          <w:sz w:val="24"/>
          <w:szCs w:val="24"/>
          <w:u w:val="single"/>
        </w:rPr>
      </w:pPr>
      <w:r>
        <w:rPr>
          <w:rFonts w:ascii="Times New Roman" w:hAnsi="Times New Roman" w:cs="Times New Roman"/>
          <w:b/>
          <w:sz w:val="24"/>
          <w:szCs w:val="24"/>
        </w:rPr>
        <w:t>Table 1</w:t>
      </w:r>
      <w:r w:rsidR="00C9199D" w:rsidRPr="00013C94">
        <w:rPr>
          <w:rFonts w:ascii="Times New Roman" w:hAnsi="Times New Roman" w:cs="Times New Roman"/>
          <w:b/>
          <w:sz w:val="24"/>
          <w:szCs w:val="24"/>
        </w:rPr>
        <w:t xml:space="preserve">: </w:t>
      </w:r>
      <w:r w:rsidR="00C9199D" w:rsidRPr="00013C94">
        <w:rPr>
          <w:rFonts w:ascii="Times New Roman" w:hAnsi="Times New Roman" w:cs="Times New Roman"/>
          <w:b/>
          <w:sz w:val="24"/>
          <w:szCs w:val="24"/>
          <w:u w:val="single"/>
        </w:rPr>
        <w:t xml:space="preserve">Table showing the </w:t>
      </w:r>
      <w:r w:rsidR="00CF597D" w:rsidRPr="00013C94">
        <w:rPr>
          <w:rFonts w:ascii="Times New Roman" w:hAnsi="Times New Roman" w:cs="Times New Roman"/>
          <w:b/>
          <w:sz w:val="24"/>
          <w:szCs w:val="24"/>
          <w:u w:val="single"/>
        </w:rPr>
        <w:t xml:space="preserve"> </w:t>
      </w:r>
      <w:r w:rsidRPr="00013C94">
        <w:rPr>
          <w:rFonts w:ascii="Times New Roman" w:hAnsi="Times New Roman" w:cs="Times New Roman"/>
          <w:b/>
          <w:sz w:val="24"/>
          <w:szCs w:val="24"/>
          <w:u w:val="single"/>
        </w:rPr>
        <w:t xml:space="preserve">Premiums underwritten by </w:t>
      </w:r>
      <w:r w:rsidR="00CF597D" w:rsidRPr="00013C94">
        <w:rPr>
          <w:rFonts w:ascii="Times New Roman" w:hAnsi="Times New Roman" w:cs="Times New Roman"/>
          <w:b/>
          <w:sz w:val="24"/>
          <w:szCs w:val="24"/>
          <w:u w:val="single"/>
        </w:rPr>
        <w:t>Life and N</w:t>
      </w:r>
      <w:r w:rsidR="00C9199D" w:rsidRPr="00013C94">
        <w:rPr>
          <w:rFonts w:ascii="Times New Roman" w:hAnsi="Times New Roman" w:cs="Times New Roman"/>
          <w:b/>
          <w:sz w:val="24"/>
          <w:szCs w:val="24"/>
          <w:u w:val="single"/>
        </w:rPr>
        <w:t xml:space="preserve">on-Life </w:t>
      </w:r>
      <w:r w:rsidRPr="00013C94">
        <w:rPr>
          <w:rFonts w:ascii="Times New Roman" w:hAnsi="Times New Roman" w:cs="Times New Roman"/>
          <w:b/>
          <w:sz w:val="24"/>
          <w:szCs w:val="24"/>
          <w:u w:val="single"/>
        </w:rPr>
        <w:t>Segments</w:t>
      </w:r>
      <w:r w:rsidR="00CF597D" w:rsidRPr="00013C94">
        <w:rPr>
          <w:rFonts w:ascii="Times New Roman" w:hAnsi="Times New Roman" w:cs="Times New Roman"/>
          <w:b/>
          <w:sz w:val="24"/>
          <w:szCs w:val="24"/>
          <w:u w:val="single"/>
        </w:rPr>
        <w:t xml:space="preserve"> ( in Crores) from 2008-2012</w:t>
      </w:r>
    </w:p>
    <w:p w:rsidR="00C9199D" w:rsidRDefault="00C9199D" w:rsidP="001C7798">
      <w:pPr>
        <w:autoSpaceDE w:val="0"/>
        <w:autoSpaceDN w:val="0"/>
        <w:adjustRightInd w:val="0"/>
        <w:spacing w:line="240" w:lineRule="auto"/>
        <w:ind w:left="0"/>
        <w:jc w:val="both"/>
        <w:rPr>
          <w:rFonts w:ascii="Times New Roman" w:hAnsi="Times New Roman" w:cs="Times New Roman"/>
          <w:sz w:val="24"/>
          <w:szCs w:val="24"/>
        </w:rPr>
      </w:pPr>
    </w:p>
    <w:tbl>
      <w:tblPr>
        <w:tblStyle w:val="TableGrid"/>
        <w:tblW w:w="0" w:type="auto"/>
        <w:tblInd w:w="1525" w:type="dxa"/>
        <w:tblLook w:val="04A0"/>
      </w:tblPr>
      <w:tblGrid>
        <w:gridCol w:w="1103"/>
        <w:gridCol w:w="2250"/>
        <w:gridCol w:w="1870"/>
        <w:gridCol w:w="1681"/>
      </w:tblGrid>
      <w:tr w:rsidR="00CF597D" w:rsidTr="00CF597D">
        <w:tc>
          <w:tcPr>
            <w:tcW w:w="1103" w:type="dxa"/>
          </w:tcPr>
          <w:p w:rsidR="00CF597D" w:rsidRPr="00CF597D" w:rsidRDefault="00CF597D" w:rsidP="00CF597D">
            <w:pPr>
              <w:autoSpaceDE w:val="0"/>
              <w:autoSpaceDN w:val="0"/>
              <w:adjustRightInd w:val="0"/>
              <w:ind w:left="0"/>
              <w:jc w:val="center"/>
              <w:rPr>
                <w:rFonts w:ascii="Times New Roman" w:hAnsi="Times New Roman" w:cs="Times New Roman"/>
                <w:b/>
                <w:sz w:val="24"/>
                <w:szCs w:val="24"/>
              </w:rPr>
            </w:pPr>
            <w:r w:rsidRPr="00CF597D">
              <w:rPr>
                <w:rFonts w:ascii="Times New Roman" w:hAnsi="Times New Roman" w:cs="Times New Roman"/>
                <w:b/>
                <w:sz w:val="24"/>
                <w:szCs w:val="24"/>
              </w:rPr>
              <w:t>Year</w:t>
            </w:r>
          </w:p>
        </w:tc>
        <w:tc>
          <w:tcPr>
            <w:tcW w:w="2250" w:type="dxa"/>
          </w:tcPr>
          <w:p w:rsidR="00CF597D" w:rsidRPr="00CF597D" w:rsidRDefault="00CF597D" w:rsidP="00CF597D">
            <w:pPr>
              <w:autoSpaceDE w:val="0"/>
              <w:autoSpaceDN w:val="0"/>
              <w:adjustRightInd w:val="0"/>
              <w:ind w:left="0"/>
              <w:jc w:val="center"/>
              <w:rPr>
                <w:rFonts w:ascii="Times New Roman" w:hAnsi="Times New Roman" w:cs="Times New Roman"/>
                <w:b/>
                <w:sz w:val="24"/>
                <w:szCs w:val="24"/>
              </w:rPr>
            </w:pPr>
            <w:r w:rsidRPr="00CF597D">
              <w:rPr>
                <w:rFonts w:ascii="Times New Roman" w:hAnsi="Times New Roman" w:cs="Times New Roman"/>
                <w:b/>
                <w:sz w:val="24"/>
                <w:szCs w:val="24"/>
              </w:rPr>
              <w:t>Life</w:t>
            </w:r>
          </w:p>
        </w:tc>
        <w:tc>
          <w:tcPr>
            <w:tcW w:w="1870" w:type="dxa"/>
          </w:tcPr>
          <w:p w:rsidR="00CF597D" w:rsidRPr="00CF597D" w:rsidRDefault="00CF597D" w:rsidP="00CF597D">
            <w:pPr>
              <w:autoSpaceDE w:val="0"/>
              <w:autoSpaceDN w:val="0"/>
              <w:adjustRightInd w:val="0"/>
              <w:ind w:left="0"/>
              <w:jc w:val="center"/>
              <w:rPr>
                <w:rFonts w:ascii="Times New Roman" w:hAnsi="Times New Roman" w:cs="Times New Roman"/>
                <w:b/>
                <w:sz w:val="24"/>
                <w:szCs w:val="24"/>
              </w:rPr>
            </w:pPr>
            <w:r w:rsidRPr="00CF597D">
              <w:rPr>
                <w:rFonts w:ascii="Times New Roman" w:hAnsi="Times New Roman" w:cs="Times New Roman"/>
                <w:b/>
                <w:sz w:val="24"/>
                <w:szCs w:val="24"/>
              </w:rPr>
              <w:t>Non-Life</w:t>
            </w:r>
          </w:p>
        </w:tc>
        <w:tc>
          <w:tcPr>
            <w:tcW w:w="1681" w:type="dxa"/>
          </w:tcPr>
          <w:p w:rsidR="00CF597D" w:rsidRPr="00CF597D" w:rsidRDefault="00CF597D" w:rsidP="00CF597D">
            <w:pPr>
              <w:autoSpaceDE w:val="0"/>
              <w:autoSpaceDN w:val="0"/>
              <w:adjustRightInd w:val="0"/>
              <w:ind w:left="0"/>
              <w:jc w:val="center"/>
              <w:rPr>
                <w:rFonts w:ascii="Times New Roman" w:hAnsi="Times New Roman" w:cs="Times New Roman"/>
                <w:b/>
                <w:sz w:val="24"/>
                <w:szCs w:val="24"/>
              </w:rPr>
            </w:pPr>
            <w:r w:rsidRPr="00CF597D">
              <w:rPr>
                <w:rFonts w:ascii="Times New Roman" w:hAnsi="Times New Roman" w:cs="Times New Roman"/>
                <w:b/>
                <w:sz w:val="24"/>
                <w:szCs w:val="24"/>
              </w:rPr>
              <w:t>Total</w:t>
            </w:r>
          </w:p>
        </w:tc>
      </w:tr>
      <w:tr w:rsidR="00CF597D" w:rsidTr="00CF597D">
        <w:tc>
          <w:tcPr>
            <w:tcW w:w="1103"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2008</w:t>
            </w:r>
          </w:p>
        </w:tc>
        <w:tc>
          <w:tcPr>
            <w:tcW w:w="2250" w:type="dxa"/>
          </w:tcPr>
          <w:tbl>
            <w:tblPr>
              <w:tblW w:w="0" w:type="auto"/>
              <w:tblBorders>
                <w:top w:val="nil"/>
                <w:left w:val="nil"/>
                <w:bottom w:val="nil"/>
                <w:right w:val="nil"/>
              </w:tblBorders>
              <w:tblLook w:val="0000"/>
            </w:tblPr>
            <w:tblGrid>
              <w:gridCol w:w="1536"/>
              <w:gridCol w:w="222"/>
              <w:gridCol w:w="222"/>
            </w:tblGrid>
            <w:tr w:rsidR="00CF597D" w:rsidRPr="00CF597D">
              <w:trPr>
                <w:trHeight w:val="71"/>
              </w:trPr>
              <w:tc>
                <w:tcPr>
                  <w:tcW w:w="0" w:type="auto"/>
                </w:tcPr>
                <w:p w:rsidR="00CF597D" w:rsidRPr="00CF597D" w:rsidRDefault="00013C94" w:rsidP="00013C94">
                  <w:pPr>
                    <w:pStyle w:val="Default"/>
                    <w:jc w:val="center"/>
                  </w:pPr>
                  <w:r>
                    <w:t xml:space="preserve">     </w:t>
                  </w:r>
                  <w:r w:rsidR="00CF597D" w:rsidRPr="00CF597D">
                    <w:t>201351.41</w:t>
                  </w:r>
                </w:p>
              </w:tc>
              <w:tc>
                <w:tcPr>
                  <w:tcW w:w="0" w:type="auto"/>
                </w:tcPr>
                <w:p w:rsidR="00CF597D" w:rsidRPr="00CF597D" w:rsidRDefault="00CF597D" w:rsidP="00013C94">
                  <w:pPr>
                    <w:pStyle w:val="Default"/>
                    <w:jc w:val="center"/>
                  </w:pPr>
                </w:p>
              </w:tc>
              <w:tc>
                <w:tcPr>
                  <w:tcW w:w="0" w:type="auto"/>
                </w:tcPr>
                <w:p w:rsidR="00CF597D" w:rsidRPr="00CF597D" w:rsidRDefault="00CF597D" w:rsidP="00013C94">
                  <w:pPr>
                    <w:pStyle w:val="Default"/>
                    <w:jc w:val="center"/>
                  </w:pPr>
                </w:p>
              </w:tc>
            </w:tr>
          </w:tbl>
          <w:p w:rsidR="00CF597D" w:rsidRPr="00CF597D" w:rsidRDefault="00CF597D" w:rsidP="00013C94">
            <w:pPr>
              <w:autoSpaceDE w:val="0"/>
              <w:autoSpaceDN w:val="0"/>
              <w:adjustRightInd w:val="0"/>
              <w:ind w:left="0"/>
              <w:jc w:val="center"/>
              <w:rPr>
                <w:rFonts w:ascii="Times New Roman" w:hAnsi="Times New Roman" w:cs="Times New Roman"/>
                <w:sz w:val="24"/>
                <w:szCs w:val="24"/>
              </w:rPr>
            </w:pPr>
          </w:p>
        </w:tc>
        <w:tc>
          <w:tcPr>
            <w:tcW w:w="1870"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28805.6</w:t>
            </w:r>
          </w:p>
        </w:tc>
        <w:tc>
          <w:tcPr>
            <w:tcW w:w="1681"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230157.01</w:t>
            </w:r>
          </w:p>
        </w:tc>
      </w:tr>
      <w:tr w:rsidR="00CF597D" w:rsidTr="00CF597D">
        <w:tc>
          <w:tcPr>
            <w:tcW w:w="1103"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2009</w:t>
            </w:r>
          </w:p>
        </w:tc>
        <w:tc>
          <w:tcPr>
            <w:tcW w:w="2250" w:type="dxa"/>
          </w:tcPr>
          <w:tbl>
            <w:tblPr>
              <w:tblW w:w="0" w:type="auto"/>
              <w:tblBorders>
                <w:top w:val="nil"/>
                <w:left w:val="nil"/>
                <w:bottom w:val="nil"/>
                <w:right w:val="nil"/>
              </w:tblBorders>
              <w:tblLook w:val="0000"/>
            </w:tblPr>
            <w:tblGrid>
              <w:gridCol w:w="1596"/>
            </w:tblGrid>
            <w:tr w:rsidR="00CF597D" w:rsidRPr="00CF597D" w:rsidTr="00467BC8">
              <w:trPr>
                <w:trHeight w:val="71"/>
              </w:trPr>
              <w:tc>
                <w:tcPr>
                  <w:tcW w:w="0" w:type="auto"/>
                </w:tcPr>
                <w:p w:rsidR="00CF597D" w:rsidRPr="00CF597D" w:rsidRDefault="00013C94" w:rsidP="00013C94">
                  <w:pPr>
                    <w:pStyle w:val="Default"/>
                    <w:jc w:val="center"/>
                  </w:pPr>
                  <w:r>
                    <w:t xml:space="preserve">      </w:t>
                  </w:r>
                  <w:r w:rsidR="00CF597D" w:rsidRPr="00CF597D">
                    <w:t>221785.47</w:t>
                  </w:r>
                </w:p>
              </w:tc>
            </w:tr>
          </w:tbl>
          <w:p w:rsidR="00CF597D" w:rsidRPr="00CF597D" w:rsidRDefault="00CF597D" w:rsidP="00013C94">
            <w:pPr>
              <w:autoSpaceDE w:val="0"/>
              <w:autoSpaceDN w:val="0"/>
              <w:adjustRightInd w:val="0"/>
              <w:ind w:left="0"/>
              <w:jc w:val="center"/>
              <w:rPr>
                <w:rFonts w:ascii="Times New Roman" w:hAnsi="Times New Roman" w:cs="Times New Roman"/>
                <w:sz w:val="24"/>
                <w:szCs w:val="24"/>
              </w:rPr>
            </w:pPr>
          </w:p>
        </w:tc>
        <w:tc>
          <w:tcPr>
            <w:tcW w:w="1870" w:type="dxa"/>
          </w:tcPr>
          <w:tbl>
            <w:tblPr>
              <w:tblW w:w="0" w:type="auto"/>
              <w:tblBorders>
                <w:top w:val="nil"/>
                <w:left w:val="nil"/>
                <w:bottom w:val="nil"/>
                <w:right w:val="nil"/>
              </w:tblBorders>
              <w:tblLook w:val="0000"/>
            </w:tblPr>
            <w:tblGrid>
              <w:gridCol w:w="222"/>
              <w:gridCol w:w="996"/>
            </w:tblGrid>
            <w:tr w:rsidR="00CF597D" w:rsidRPr="00CF597D">
              <w:trPr>
                <w:trHeight w:val="71"/>
              </w:trPr>
              <w:tc>
                <w:tcPr>
                  <w:tcW w:w="0" w:type="auto"/>
                </w:tcPr>
                <w:p w:rsidR="00CF597D" w:rsidRPr="00CF597D" w:rsidRDefault="00CF597D" w:rsidP="00CF597D">
                  <w:pPr>
                    <w:pStyle w:val="Default"/>
                    <w:jc w:val="center"/>
                  </w:pPr>
                </w:p>
              </w:tc>
              <w:tc>
                <w:tcPr>
                  <w:tcW w:w="0" w:type="auto"/>
                </w:tcPr>
                <w:p w:rsidR="00CF597D" w:rsidRPr="00CF597D" w:rsidRDefault="00CF597D" w:rsidP="00CF597D">
                  <w:pPr>
                    <w:pStyle w:val="Default"/>
                    <w:jc w:val="center"/>
                  </w:pPr>
                  <w:r w:rsidRPr="00CF597D">
                    <w:t>31428.4</w:t>
                  </w:r>
                </w:p>
              </w:tc>
            </w:tr>
          </w:tbl>
          <w:p w:rsidR="00CF597D" w:rsidRPr="00CF597D" w:rsidRDefault="00CF597D" w:rsidP="00CF597D">
            <w:pPr>
              <w:autoSpaceDE w:val="0"/>
              <w:autoSpaceDN w:val="0"/>
              <w:adjustRightInd w:val="0"/>
              <w:ind w:left="0"/>
              <w:jc w:val="center"/>
              <w:rPr>
                <w:rFonts w:ascii="Times New Roman" w:hAnsi="Times New Roman" w:cs="Times New Roman"/>
                <w:sz w:val="24"/>
                <w:szCs w:val="24"/>
              </w:rPr>
            </w:pPr>
          </w:p>
        </w:tc>
        <w:tc>
          <w:tcPr>
            <w:tcW w:w="1681" w:type="dxa"/>
          </w:tcPr>
          <w:tbl>
            <w:tblPr>
              <w:tblW w:w="0" w:type="auto"/>
              <w:tblBorders>
                <w:top w:val="nil"/>
                <w:left w:val="nil"/>
                <w:bottom w:val="nil"/>
                <w:right w:val="nil"/>
              </w:tblBorders>
              <w:tblLook w:val="0000"/>
            </w:tblPr>
            <w:tblGrid>
              <w:gridCol w:w="1356"/>
            </w:tblGrid>
            <w:tr w:rsidR="00CF597D" w:rsidRPr="00CF597D" w:rsidTr="001F0DFC">
              <w:trPr>
                <w:trHeight w:val="71"/>
              </w:trPr>
              <w:tc>
                <w:tcPr>
                  <w:tcW w:w="0" w:type="auto"/>
                </w:tcPr>
                <w:p w:rsidR="00CF597D" w:rsidRPr="00CF597D" w:rsidRDefault="00CF597D" w:rsidP="00CF597D">
                  <w:pPr>
                    <w:pStyle w:val="Default"/>
                    <w:jc w:val="center"/>
                  </w:pPr>
                  <w:r>
                    <w:t xml:space="preserve">  </w:t>
                  </w:r>
                  <w:r w:rsidRPr="00CF597D">
                    <w:t>253213.87</w:t>
                  </w:r>
                </w:p>
              </w:tc>
            </w:tr>
          </w:tbl>
          <w:p w:rsidR="00CF597D" w:rsidRPr="00CF597D" w:rsidRDefault="00CF597D" w:rsidP="00CF597D">
            <w:pPr>
              <w:autoSpaceDE w:val="0"/>
              <w:autoSpaceDN w:val="0"/>
              <w:adjustRightInd w:val="0"/>
              <w:ind w:left="0"/>
              <w:jc w:val="center"/>
              <w:rPr>
                <w:rFonts w:ascii="Times New Roman" w:hAnsi="Times New Roman" w:cs="Times New Roman"/>
                <w:sz w:val="24"/>
                <w:szCs w:val="24"/>
              </w:rPr>
            </w:pPr>
          </w:p>
        </w:tc>
      </w:tr>
      <w:tr w:rsidR="00CF597D" w:rsidTr="00013C94">
        <w:trPr>
          <w:trHeight w:val="332"/>
        </w:trPr>
        <w:tc>
          <w:tcPr>
            <w:tcW w:w="1103"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2010</w:t>
            </w:r>
          </w:p>
        </w:tc>
        <w:tc>
          <w:tcPr>
            <w:tcW w:w="2250" w:type="dxa"/>
          </w:tcPr>
          <w:p w:rsidR="00CF597D" w:rsidRPr="00CF597D" w:rsidRDefault="00CF597D" w:rsidP="00013C94">
            <w:pPr>
              <w:pStyle w:val="Default"/>
              <w:jc w:val="center"/>
            </w:pPr>
            <w:r w:rsidRPr="00CF597D">
              <w:t>265447.25</w:t>
            </w:r>
          </w:p>
        </w:tc>
        <w:tc>
          <w:tcPr>
            <w:tcW w:w="1870" w:type="dxa"/>
          </w:tcPr>
          <w:p w:rsidR="00CF597D" w:rsidRPr="00CF597D" w:rsidRDefault="00CF597D" w:rsidP="00CF597D">
            <w:pPr>
              <w:pStyle w:val="Default"/>
              <w:jc w:val="center"/>
            </w:pPr>
            <w:r w:rsidRPr="00CF597D">
              <w:t>35815.85</w:t>
            </w:r>
          </w:p>
        </w:tc>
        <w:tc>
          <w:tcPr>
            <w:tcW w:w="1681" w:type="dxa"/>
          </w:tcPr>
          <w:p w:rsidR="00CF597D" w:rsidRPr="00CF597D" w:rsidRDefault="00CF597D" w:rsidP="00CF597D">
            <w:pPr>
              <w:pStyle w:val="Default"/>
              <w:jc w:val="center"/>
            </w:pPr>
            <w:r w:rsidRPr="00CF597D">
              <w:t>301263.1</w:t>
            </w:r>
            <w:r w:rsidR="00013C94">
              <w:t>0</w:t>
            </w:r>
          </w:p>
        </w:tc>
      </w:tr>
      <w:tr w:rsidR="00CF597D" w:rsidTr="00CF597D">
        <w:tc>
          <w:tcPr>
            <w:tcW w:w="1103"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2011</w:t>
            </w:r>
          </w:p>
        </w:tc>
        <w:tc>
          <w:tcPr>
            <w:tcW w:w="2250" w:type="dxa"/>
          </w:tcPr>
          <w:p w:rsidR="00CF597D" w:rsidRPr="00CF597D" w:rsidRDefault="00CF597D" w:rsidP="00013C94">
            <w:pPr>
              <w:pStyle w:val="Default"/>
              <w:jc w:val="center"/>
            </w:pPr>
            <w:r w:rsidRPr="00CF597D">
              <w:t>291638.64</w:t>
            </w:r>
          </w:p>
        </w:tc>
        <w:tc>
          <w:tcPr>
            <w:tcW w:w="1870" w:type="dxa"/>
          </w:tcPr>
          <w:p w:rsidR="00CF597D" w:rsidRPr="00CF597D" w:rsidRDefault="00CF597D" w:rsidP="00CF597D">
            <w:pPr>
              <w:pStyle w:val="Default"/>
              <w:jc w:val="center"/>
            </w:pPr>
            <w:r w:rsidRPr="00CF597D">
              <w:t>43841.84</w:t>
            </w:r>
          </w:p>
        </w:tc>
        <w:tc>
          <w:tcPr>
            <w:tcW w:w="1681" w:type="dxa"/>
          </w:tcPr>
          <w:p w:rsidR="00CF597D" w:rsidRPr="00CF597D" w:rsidRDefault="00CF597D" w:rsidP="00CF597D">
            <w:pPr>
              <w:pStyle w:val="Default"/>
              <w:jc w:val="center"/>
            </w:pPr>
            <w:r w:rsidRPr="00CF597D">
              <w:t>335480.48</w:t>
            </w:r>
          </w:p>
        </w:tc>
      </w:tr>
      <w:tr w:rsidR="00CF597D" w:rsidTr="00CF597D">
        <w:tc>
          <w:tcPr>
            <w:tcW w:w="1103" w:type="dxa"/>
          </w:tcPr>
          <w:p w:rsidR="00CF597D" w:rsidRPr="00CF597D" w:rsidRDefault="00CF597D" w:rsidP="00CF597D">
            <w:pPr>
              <w:autoSpaceDE w:val="0"/>
              <w:autoSpaceDN w:val="0"/>
              <w:adjustRightInd w:val="0"/>
              <w:ind w:left="0"/>
              <w:jc w:val="center"/>
              <w:rPr>
                <w:rFonts w:ascii="Times New Roman" w:hAnsi="Times New Roman" w:cs="Times New Roman"/>
                <w:sz w:val="24"/>
                <w:szCs w:val="24"/>
              </w:rPr>
            </w:pPr>
            <w:r w:rsidRPr="00CF597D">
              <w:rPr>
                <w:rFonts w:ascii="Times New Roman" w:hAnsi="Times New Roman" w:cs="Times New Roman"/>
                <w:sz w:val="24"/>
                <w:szCs w:val="24"/>
              </w:rPr>
              <w:t>2012</w:t>
            </w:r>
          </w:p>
        </w:tc>
        <w:tc>
          <w:tcPr>
            <w:tcW w:w="2250" w:type="dxa"/>
          </w:tcPr>
          <w:p w:rsidR="00CF597D" w:rsidRPr="00CF597D" w:rsidRDefault="00CF597D" w:rsidP="00013C94">
            <w:pPr>
              <w:pStyle w:val="Default"/>
              <w:jc w:val="center"/>
            </w:pPr>
            <w:r w:rsidRPr="00CF597D">
              <w:t>287072.11</w:t>
            </w:r>
          </w:p>
        </w:tc>
        <w:tc>
          <w:tcPr>
            <w:tcW w:w="1870" w:type="dxa"/>
          </w:tcPr>
          <w:p w:rsidR="00CF597D" w:rsidRPr="00CF597D" w:rsidRDefault="00CF597D" w:rsidP="00CF597D">
            <w:pPr>
              <w:pStyle w:val="Default"/>
              <w:jc w:val="center"/>
            </w:pPr>
            <w:r w:rsidRPr="00CF597D">
              <w:t>54578.49</w:t>
            </w:r>
          </w:p>
        </w:tc>
        <w:tc>
          <w:tcPr>
            <w:tcW w:w="1681" w:type="dxa"/>
          </w:tcPr>
          <w:p w:rsidR="00CF597D" w:rsidRPr="00CF597D" w:rsidRDefault="00CF597D" w:rsidP="00CF597D">
            <w:pPr>
              <w:pStyle w:val="Default"/>
              <w:jc w:val="center"/>
            </w:pPr>
            <w:r w:rsidRPr="00CF597D">
              <w:t>341650.6</w:t>
            </w:r>
          </w:p>
        </w:tc>
      </w:tr>
    </w:tbl>
    <w:p w:rsidR="00C9199D" w:rsidRPr="00613E30" w:rsidRDefault="00013C94" w:rsidP="001C7798">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Source: Compiled from various reports of IRDA</w:t>
      </w:r>
    </w:p>
    <w:p w:rsidR="0044252C" w:rsidRDefault="0044252C" w:rsidP="001C7798">
      <w:pPr>
        <w:autoSpaceDE w:val="0"/>
        <w:autoSpaceDN w:val="0"/>
        <w:adjustRightInd w:val="0"/>
        <w:spacing w:line="240" w:lineRule="auto"/>
        <w:ind w:left="0"/>
        <w:jc w:val="both"/>
        <w:rPr>
          <w:rFonts w:ascii="Times New Roman" w:hAnsi="Times New Roman" w:cs="Times New Roman"/>
          <w:sz w:val="24"/>
          <w:szCs w:val="24"/>
        </w:rPr>
      </w:pPr>
    </w:p>
    <w:p w:rsidR="00196478" w:rsidRPr="0095545C" w:rsidRDefault="00450225" w:rsidP="001C7798">
      <w:pPr>
        <w:autoSpaceDE w:val="0"/>
        <w:autoSpaceDN w:val="0"/>
        <w:adjustRightInd w:val="0"/>
        <w:spacing w:line="240" w:lineRule="auto"/>
        <w:ind w:left="0"/>
        <w:jc w:val="both"/>
        <w:rPr>
          <w:rFonts w:ascii="Times New Roman" w:hAnsi="Times New Roman" w:cs="Times New Roman"/>
          <w:b/>
          <w:sz w:val="24"/>
          <w:szCs w:val="24"/>
        </w:rPr>
      </w:pPr>
      <w:r w:rsidRPr="0095545C">
        <w:rPr>
          <w:rFonts w:ascii="Times New Roman" w:hAnsi="Times New Roman" w:cs="Times New Roman"/>
          <w:b/>
          <w:sz w:val="24"/>
          <w:szCs w:val="24"/>
        </w:rPr>
        <w:t>PENETRATION AND DENSITY:</w:t>
      </w:r>
    </w:p>
    <w:p w:rsidR="00450225" w:rsidRPr="00AA0D20" w:rsidRDefault="00450225" w:rsidP="001C7798">
      <w:pPr>
        <w:autoSpaceDE w:val="0"/>
        <w:autoSpaceDN w:val="0"/>
        <w:adjustRightInd w:val="0"/>
        <w:spacing w:line="240" w:lineRule="auto"/>
        <w:ind w:left="0"/>
        <w:jc w:val="both"/>
        <w:rPr>
          <w:rFonts w:ascii="Times New Roman" w:hAnsi="Times New Roman" w:cs="Times New Roman"/>
          <w:sz w:val="24"/>
          <w:szCs w:val="24"/>
        </w:rPr>
      </w:pPr>
      <w:r w:rsidRPr="00AA0D20">
        <w:rPr>
          <w:rFonts w:ascii="Times New Roman" w:hAnsi="Times New Roman" w:cs="Times New Roman"/>
          <w:sz w:val="24"/>
          <w:szCs w:val="24"/>
        </w:rPr>
        <w:t>The potential and performance of the insurance sector is universally assessed with reference to two parameters, viz., insurance penetration and insurance density. These two are often used to determine the level of development of the insurance sector in a country. Insurance penetration is defined as the ratio of premium underwritten in a given year to the Gross Domestic Product (GDP).</w:t>
      </w:r>
      <w:r w:rsidR="00C84249">
        <w:rPr>
          <w:rFonts w:ascii="Times New Roman" w:hAnsi="Times New Roman" w:cs="Times New Roman"/>
          <w:sz w:val="24"/>
          <w:szCs w:val="24"/>
        </w:rPr>
        <w:t xml:space="preserve"> Table 2</w:t>
      </w:r>
      <w:r w:rsidR="00AA0D20">
        <w:rPr>
          <w:rFonts w:ascii="Times New Roman" w:hAnsi="Times New Roman" w:cs="Times New Roman"/>
          <w:sz w:val="24"/>
          <w:szCs w:val="24"/>
        </w:rPr>
        <w:t xml:space="preserve"> below shows the penetration and density of Insurance in India.</w:t>
      </w:r>
      <w:r w:rsidRPr="00AA0D20">
        <w:rPr>
          <w:rFonts w:ascii="Times New Roman" w:hAnsi="Times New Roman" w:cs="Times New Roman"/>
          <w:sz w:val="24"/>
          <w:szCs w:val="24"/>
        </w:rPr>
        <w:t xml:space="preserve"> The insurance penetration in India, which surged consistently till 2009-10, has slipped since 2010-11 on account of slowdown in life insurance premium as compared to the growth rate of the Indian economy. Life insurance penetration had consistently gone up from2.53 per cent in 2005 to 4.60 in 2009, before slipp</w:t>
      </w:r>
      <w:r w:rsidR="00AA0D20">
        <w:rPr>
          <w:rFonts w:ascii="Times New Roman" w:hAnsi="Times New Roman" w:cs="Times New Roman"/>
          <w:sz w:val="24"/>
          <w:szCs w:val="24"/>
        </w:rPr>
        <w:t>ing to 4.40 per cent in 2010,</w:t>
      </w:r>
      <w:r w:rsidRPr="00AA0D20">
        <w:rPr>
          <w:rFonts w:ascii="Times New Roman" w:hAnsi="Times New Roman" w:cs="Times New Roman"/>
          <w:sz w:val="24"/>
          <w:szCs w:val="24"/>
        </w:rPr>
        <w:t xml:space="preserve"> further slipping to 3.40 per cent in 2011 and 3.17 in 2012.</w:t>
      </w:r>
    </w:p>
    <w:p w:rsidR="00196478" w:rsidRPr="00AA0D20" w:rsidRDefault="00196478" w:rsidP="001C7798">
      <w:pPr>
        <w:autoSpaceDE w:val="0"/>
        <w:autoSpaceDN w:val="0"/>
        <w:adjustRightInd w:val="0"/>
        <w:spacing w:line="240" w:lineRule="auto"/>
        <w:ind w:left="0"/>
        <w:jc w:val="both"/>
        <w:rPr>
          <w:rFonts w:ascii="Times New Roman" w:hAnsi="Times New Roman" w:cs="Times New Roman"/>
          <w:sz w:val="24"/>
          <w:szCs w:val="24"/>
        </w:rPr>
      </w:pPr>
    </w:p>
    <w:p w:rsidR="00196478" w:rsidRPr="00AA0D20" w:rsidRDefault="00450225" w:rsidP="001C7798">
      <w:pPr>
        <w:autoSpaceDE w:val="0"/>
        <w:autoSpaceDN w:val="0"/>
        <w:adjustRightInd w:val="0"/>
        <w:spacing w:line="240" w:lineRule="auto"/>
        <w:ind w:left="0"/>
        <w:jc w:val="both"/>
        <w:rPr>
          <w:rFonts w:ascii="Times New Roman" w:hAnsi="Times New Roman" w:cs="Times New Roman"/>
          <w:sz w:val="24"/>
          <w:szCs w:val="24"/>
        </w:rPr>
      </w:pPr>
      <w:r w:rsidRPr="00AA0D20">
        <w:rPr>
          <w:rFonts w:ascii="Times New Roman" w:hAnsi="Times New Roman" w:cs="Times New Roman"/>
          <w:sz w:val="24"/>
          <w:szCs w:val="24"/>
        </w:rPr>
        <w:t>However, penetration of the non-life insurance sector in the country has remained near constant in the range of 0.55-0.78 per cent over the last 8 years (0.70 per cent in 2011 and 0.78 in 2012).</w:t>
      </w:r>
    </w:p>
    <w:p w:rsidR="00196478" w:rsidRPr="00AA0D20" w:rsidRDefault="00196478" w:rsidP="001C7798">
      <w:pPr>
        <w:autoSpaceDE w:val="0"/>
        <w:autoSpaceDN w:val="0"/>
        <w:adjustRightInd w:val="0"/>
        <w:spacing w:line="240" w:lineRule="auto"/>
        <w:ind w:left="0"/>
        <w:jc w:val="both"/>
        <w:rPr>
          <w:rFonts w:ascii="Times New Roman" w:hAnsi="Times New Roman" w:cs="Times New Roman"/>
          <w:sz w:val="24"/>
          <w:szCs w:val="24"/>
        </w:rPr>
      </w:pPr>
    </w:p>
    <w:p w:rsidR="00196478" w:rsidRPr="00AA0D20" w:rsidRDefault="00450225" w:rsidP="001C7798">
      <w:pPr>
        <w:autoSpaceDE w:val="0"/>
        <w:autoSpaceDN w:val="0"/>
        <w:adjustRightInd w:val="0"/>
        <w:spacing w:line="240" w:lineRule="auto"/>
        <w:ind w:left="0"/>
        <w:jc w:val="both"/>
        <w:rPr>
          <w:rFonts w:ascii="Times New Roman" w:hAnsi="Times New Roman" w:cs="Times New Roman"/>
          <w:sz w:val="24"/>
          <w:szCs w:val="24"/>
        </w:rPr>
      </w:pPr>
      <w:r w:rsidRPr="00AA0D20">
        <w:rPr>
          <w:rFonts w:ascii="Times New Roman" w:hAnsi="Times New Roman" w:cs="Times New Roman"/>
          <w:sz w:val="24"/>
          <w:szCs w:val="24"/>
        </w:rPr>
        <w:t>Insurance density is defined as the ratio of premium underwritten in a given year to the total population (measured in USD for convenience of comparison)( Per capita premium). India has reported consistent increase in insurance density every year since the sector was opened up for private competition in the year 2000. However, for the first time in 2011, there was a fall in insurance density. The life insurance density in India has gone up from USD 18.3 in 2005 to USD 42.7 in 2012 though it reached the heights of USD 55.7 in 2010.</w:t>
      </w:r>
      <w:r w:rsidR="0073045A" w:rsidRPr="00AA0D20">
        <w:rPr>
          <w:rFonts w:ascii="Times New Roman" w:hAnsi="Times New Roman" w:cs="Times New Roman"/>
          <w:sz w:val="24"/>
          <w:szCs w:val="24"/>
        </w:rPr>
        <w:t xml:space="preserve"> The Insurance density of non-life sector reached the peak of USD 10.5 in 2012 from its level of USD 4.4 in 2005.</w:t>
      </w:r>
    </w:p>
    <w:p w:rsidR="00196478" w:rsidRPr="00AA0D20" w:rsidRDefault="00196478" w:rsidP="001C7798">
      <w:pPr>
        <w:autoSpaceDE w:val="0"/>
        <w:autoSpaceDN w:val="0"/>
        <w:adjustRightInd w:val="0"/>
        <w:spacing w:line="240" w:lineRule="auto"/>
        <w:ind w:left="0"/>
        <w:jc w:val="both"/>
        <w:rPr>
          <w:rFonts w:ascii="Times New Roman" w:hAnsi="Times New Roman" w:cs="Times New Roman"/>
          <w:sz w:val="24"/>
          <w:szCs w:val="24"/>
        </w:rPr>
      </w:pPr>
    </w:p>
    <w:p w:rsidR="0044252C" w:rsidRPr="00613E30" w:rsidRDefault="0044252C" w:rsidP="002A07F7">
      <w:pPr>
        <w:autoSpaceDE w:val="0"/>
        <w:autoSpaceDN w:val="0"/>
        <w:adjustRightInd w:val="0"/>
        <w:spacing w:line="240" w:lineRule="auto"/>
        <w:ind w:left="0"/>
        <w:rPr>
          <w:rFonts w:ascii="Times New Roman" w:hAnsi="Times New Roman" w:cs="Times New Roman"/>
          <w:sz w:val="24"/>
          <w:szCs w:val="24"/>
        </w:rPr>
      </w:pPr>
    </w:p>
    <w:p w:rsidR="00722D89" w:rsidRPr="00196478" w:rsidRDefault="00013C94" w:rsidP="008005F2">
      <w:pPr>
        <w:autoSpaceDE w:val="0"/>
        <w:autoSpaceDN w:val="0"/>
        <w:adjustRightInd w:val="0"/>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Table 2</w:t>
      </w:r>
      <w:r w:rsidR="00196478">
        <w:rPr>
          <w:rFonts w:ascii="Times New Roman" w:hAnsi="Times New Roman" w:cs="Times New Roman"/>
          <w:b/>
          <w:sz w:val="24"/>
          <w:szCs w:val="24"/>
        </w:rPr>
        <w:t xml:space="preserve">: </w:t>
      </w:r>
      <w:r w:rsidR="00C13E73" w:rsidRPr="00196478">
        <w:rPr>
          <w:rFonts w:ascii="Times New Roman" w:hAnsi="Times New Roman" w:cs="Times New Roman"/>
          <w:b/>
          <w:sz w:val="24"/>
          <w:szCs w:val="24"/>
        </w:rPr>
        <w:t>INSURANCE PENETRATION AND DENSITY IN INDIA</w:t>
      </w:r>
    </w:p>
    <w:p w:rsidR="00722D89" w:rsidRDefault="00722D89" w:rsidP="002A07F7">
      <w:pPr>
        <w:autoSpaceDE w:val="0"/>
        <w:autoSpaceDN w:val="0"/>
        <w:adjustRightInd w:val="0"/>
        <w:spacing w:line="240" w:lineRule="auto"/>
        <w:ind w:left="0"/>
        <w:rPr>
          <w:sz w:val="23"/>
          <w:szCs w:val="23"/>
        </w:rPr>
      </w:pPr>
    </w:p>
    <w:tbl>
      <w:tblPr>
        <w:tblStyle w:val="TableGrid"/>
        <w:tblW w:w="10278" w:type="dxa"/>
        <w:tblLayout w:type="fixed"/>
        <w:tblLook w:val="04A0"/>
      </w:tblPr>
      <w:tblGrid>
        <w:gridCol w:w="828"/>
        <w:gridCol w:w="1530"/>
        <w:gridCol w:w="1620"/>
        <w:gridCol w:w="1530"/>
        <w:gridCol w:w="1620"/>
        <w:gridCol w:w="1530"/>
        <w:gridCol w:w="1620"/>
      </w:tblGrid>
      <w:tr w:rsidR="0004573C" w:rsidRPr="0004573C" w:rsidTr="009D7B87">
        <w:tc>
          <w:tcPr>
            <w:tcW w:w="828" w:type="dxa"/>
            <w:vMerge w:val="restart"/>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Year</w:t>
            </w:r>
          </w:p>
        </w:tc>
        <w:tc>
          <w:tcPr>
            <w:tcW w:w="3150" w:type="dxa"/>
            <w:gridSpan w:val="2"/>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Life</w:t>
            </w:r>
          </w:p>
        </w:tc>
        <w:tc>
          <w:tcPr>
            <w:tcW w:w="3150" w:type="dxa"/>
            <w:gridSpan w:val="2"/>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Non-Life</w:t>
            </w:r>
          </w:p>
        </w:tc>
        <w:tc>
          <w:tcPr>
            <w:tcW w:w="3150" w:type="dxa"/>
            <w:gridSpan w:val="2"/>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Industry</w:t>
            </w:r>
          </w:p>
        </w:tc>
      </w:tr>
      <w:tr w:rsidR="0004573C" w:rsidRPr="0004573C" w:rsidTr="009D7B87">
        <w:tc>
          <w:tcPr>
            <w:tcW w:w="828" w:type="dxa"/>
            <w:vMerge/>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Density</w:t>
            </w:r>
            <w:r>
              <w:rPr>
                <w:rFonts w:ascii="Times New Roman" w:hAnsi="Times New Roman" w:cs="Times New Roman"/>
                <w:sz w:val="24"/>
                <w:szCs w:val="24"/>
              </w:rPr>
              <w:t>(</w:t>
            </w:r>
            <w:r w:rsidRPr="009D7B87">
              <w:rPr>
                <w:rFonts w:ascii="Times New Roman" w:hAnsi="Times New Roman" w:cs="Times New Roman"/>
                <w:sz w:val="20"/>
                <w:szCs w:val="20"/>
              </w:rPr>
              <w:t>USD</w:t>
            </w:r>
            <w:r>
              <w:rPr>
                <w:rFonts w:ascii="Times New Roman" w:hAnsi="Times New Roman" w:cs="Times New Roman"/>
                <w:sz w:val="24"/>
                <w:szCs w:val="24"/>
              </w:rPr>
              <w:t>)</w:t>
            </w:r>
          </w:p>
        </w:tc>
        <w:tc>
          <w:tcPr>
            <w:tcW w:w="162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Penetration</w:t>
            </w:r>
            <w:r>
              <w:rPr>
                <w:rFonts w:ascii="Times New Roman" w:hAnsi="Times New Roman" w:cs="Times New Roman"/>
                <w:sz w:val="24"/>
                <w:szCs w:val="24"/>
              </w:rPr>
              <w:t>(</w:t>
            </w:r>
            <w:r w:rsidRPr="009D7B87">
              <w:rPr>
                <w:rFonts w:ascii="Times New Roman" w:hAnsi="Times New Roman" w:cs="Times New Roman"/>
                <w:sz w:val="18"/>
                <w:szCs w:val="18"/>
              </w:rPr>
              <w:t>%</w:t>
            </w:r>
            <w:r>
              <w:rPr>
                <w:rFonts w:ascii="Times New Roman" w:hAnsi="Times New Roman" w:cs="Times New Roman"/>
                <w:sz w:val="24"/>
                <w:szCs w:val="24"/>
              </w:rPr>
              <w:t>)</w:t>
            </w: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Density</w:t>
            </w:r>
            <w:r>
              <w:rPr>
                <w:rFonts w:ascii="Times New Roman" w:hAnsi="Times New Roman" w:cs="Times New Roman"/>
                <w:sz w:val="24"/>
                <w:szCs w:val="24"/>
              </w:rPr>
              <w:t>(</w:t>
            </w:r>
            <w:r w:rsidRPr="009D7B87">
              <w:rPr>
                <w:rFonts w:ascii="Times New Roman" w:hAnsi="Times New Roman" w:cs="Times New Roman"/>
                <w:sz w:val="20"/>
                <w:szCs w:val="20"/>
              </w:rPr>
              <w:t>USD</w:t>
            </w:r>
            <w:r>
              <w:rPr>
                <w:rFonts w:ascii="Times New Roman" w:hAnsi="Times New Roman" w:cs="Times New Roman"/>
                <w:sz w:val="24"/>
                <w:szCs w:val="24"/>
              </w:rPr>
              <w:t>)</w:t>
            </w:r>
          </w:p>
        </w:tc>
        <w:tc>
          <w:tcPr>
            <w:tcW w:w="162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Penetration</w:t>
            </w:r>
            <w:r>
              <w:rPr>
                <w:rFonts w:ascii="Times New Roman" w:hAnsi="Times New Roman" w:cs="Times New Roman"/>
                <w:sz w:val="24"/>
                <w:szCs w:val="24"/>
              </w:rPr>
              <w:t>(</w:t>
            </w:r>
            <w:r w:rsidRPr="009D7B87">
              <w:rPr>
                <w:rFonts w:ascii="Times New Roman" w:hAnsi="Times New Roman" w:cs="Times New Roman"/>
                <w:sz w:val="18"/>
                <w:szCs w:val="18"/>
              </w:rPr>
              <w:t>%</w:t>
            </w:r>
            <w:r>
              <w:rPr>
                <w:rFonts w:ascii="Times New Roman" w:hAnsi="Times New Roman" w:cs="Times New Roman"/>
                <w:sz w:val="24"/>
                <w:szCs w:val="24"/>
              </w:rPr>
              <w:t>)</w:t>
            </w: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Density</w:t>
            </w:r>
            <w:r>
              <w:rPr>
                <w:rFonts w:ascii="Times New Roman" w:hAnsi="Times New Roman" w:cs="Times New Roman"/>
                <w:sz w:val="24"/>
                <w:szCs w:val="24"/>
              </w:rPr>
              <w:t>(</w:t>
            </w:r>
            <w:r w:rsidRPr="009D7B87">
              <w:rPr>
                <w:rFonts w:ascii="Times New Roman" w:hAnsi="Times New Roman" w:cs="Times New Roman"/>
                <w:sz w:val="20"/>
                <w:szCs w:val="20"/>
              </w:rPr>
              <w:t>USD</w:t>
            </w:r>
            <w:r>
              <w:rPr>
                <w:rFonts w:ascii="Times New Roman" w:hAnsi="Times New Roman" w:cs="Times New Roman"/>
                <w:sz w:val="24"/>
                <w:szCs w:val="24"/>
              </w:rPr>
              <w:t>)</w:t>
            </w:r>
          </w:p>
        </w:tc>
        <w:tc>
          <w:tcPr>
            <w:tcW w:w="1620" w:type="dxa"/>
          </w:tcPr>
          <w:p w:rsidR="0004573C" w:rsidRPr="0004573C" w:rsidRDefault="0004573C" w:rsidP="009D7B87">
            <w:pPr>
              <w:autoSpaceDE w:val="0"/>
              <w:autoSpaceDN w:val="0"/>
              <w:adjustRightInd w:val="0"/>
              <w:ind w:left="0"/>
              <w:rPr>
                <w:rFonts w:ascii="Times New Roman" w:hAnsi="Times New Roman" w:cs="Times New Roman"/>
                <w:sz w:val="24"/>
                <w:szCs w:val="24"/>
              </w:rPr>
            </w:pPr>
            <w:r w:rsidRPr="0004573C">
              <w:rPr>
                <w:rFonts w:ascii="Times New Roman" w:hAnsi="Times New Roman" w:cs="Times New Roman"/>
                <w:sz w:val="24"/>
                <w:szCs w:val="24"/>
              </w:rPr>
              <w:t>Penetration</w:t>
            </w:r>
            <w:r>
              <w:rPr>
                <w:rFonts w:ascii="Times New Roman" w:hAnsi="Times New Roman" w:cs="Times New Roman"/>
                <w:sz w:val="24"/>
                <w:szCs w:val="24"/>
              </w:rPr>
              <w:t>(</w:t>
            </w:r>
            <w:r w:rsidRPr="009D7B87">
              <w:rPr>
                <w:rFonts w:ascii="Times New Roman" w:hAnsi="Times New Roman" w:cs="Times New Roman"/>
                <w:sz w:val="16"/>
                <w:szCs w:val="16"/>
              </w:rPr>
              <w:t>%)</w:t>
            </w:r>
          </w:p>
        </w:tc>
      </w:tr>
      <w:tr w:rsidR="00196478" w:rsidRPr="0004573C" w:rsidTr="009D7B87">
        <w:tc>
          <w:tcPr>
            <w:tcW w:w="828"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2005</w:t>
            </w: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18.3</w:t>
            </w:r>
          </w:p>
        </w:tc>
        <w:tc>
          <w:tcPr>
            <w:tcW w:w="162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2.53</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4.4</w:t>
            </w:r>
            <w:r w:rsidR="003E4C4F">
              <w:rPr>
                <w:rFonts w:ascii="Times New Roman" w:hAnsi="Times New Roman" w:cs="Times New Roman"/>
                <w:sz w:val="24"/>
                <w:szCs w:val="24"/>
              </w:rPr>
              <w:t>0</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0.61</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22.7</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3.14</w:t>
            </w:r>
          </w:p>
        </w:tc>
      </w:tr>
      <w:tr w:rsidR="00196478" w:rsidRPr="0004573C" w:rsidTr="009D7B87">
        <w:tc>
          <w:tcPr>
            <w:tcW w:w="828"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2006</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33.2</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4.1</w:t>
            </w:r>
            <w:r w:rsidR="003E4C4F">
              <w:rPr>
                <w:rFonts w:ascii="Times New Roman" w:hAnsi="Times New Roman" w:cs="Times New Roman"/>
                <w:sz w:val="24"/>
                <w:szCs w:val="24"/>
              </w:rPr>
              <w:t>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5.2</w:t>
            </w:r>
            <w:r w:rsidR="003E4C4F">
              <w:rPr>
                <w:rFonts w:ascii="Times New Roman" w:hAnsi="Times New Roman" w:cs="Times New Roman"/>
                <w:sz w:val="24"/>
                <w:szCs w:val="24"/>
              </w:rPr>
              <w:t>0</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38.4</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4.8</w:t>
            </w:r>
            <w:r w:rsidR="003E4C4F">
              <w:rPr>
                <w:rFonts w:ascii="Times New Roman" w:hAnsi="Times New Roman" w:cs="Times New Roman"/>
                <w:sz w:val="24"/>
                <w:szCs w:val="24"/>
              </w:rPr>
              <w:t>0</w:t>
            </w:r>
          </w:p>
        </w:tc>
      </w:tr>
      <w:tr w:rsidR="00196478" w:rsidRPr="0004573C" w:rsidTr="009D7B87">
        <w:tc>
          <w:tcPr>
            <w:tcW w:w="828"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2007</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40.4</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6.2</w:t>
            </w:r>
            <w:r w:rsidR="003E4C4F">
              <w:rPr>
                <w:rFonts w:ascii="Times New Roman" w:hAnsi="Times New Roman" w:cs="Times New Roman"/>
                <w:sz w:val="24"/>
                <w:szCs w:val="24"/>
              </w:rPr>
              <w:t>0</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46.6</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4.7</w:t>
            </w:r>
            <w:r w:rsidR="003E4C4F">
              <w:rPr>
                <w:rFonts w:ascii="Times New Roman" w:hAnsi="Times New Roman" w:cs="Times New Roman"/>
                <w:sz w:val="24"/>
                <w:szCs w:val="24"/>
              </w:rPr>
              <w:t>0</w:t>
            </w:r>
          </w:p>
        </w:tc>
      </w:tr>
      <w:tr w:rsidR="00196478" w:rsidRPr="0004573C" w:rsidTr="009D7B87">
        <w:tc>
          <w:tcPr>
            <w:tcW w:w="828"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2008</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41.2</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6.2</w:t>
            </w:r>
            <w:r w:rsidR="003E4C4F">
              <w:rPr>
                <w:rFonts w:ascii="Times New Roman" w:hAnsi="Times New Roman" w:cs="Times New Roman"/>
                <w:sz w:val="24"/>
                <w:szCs w:val="24"/>
              </w:rPr>
              <w:t>0</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47.4</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4.6</w:t>
            </w:r>
            <w:r w:rsidR="003E4C4F">
              <w:rPr>
                <w:rFonts w:ascii="Times New Roman" w:hAnsi="Times New Roman" w:cs="Times New Roman"/>
                <w:sz w:val="24"/>
                <w:szCs w:val="24"/>
              </w:rPr>
              <w:t>0</w:t>
            </w:r>
          </w:p>
        </w:tc>
      </w:tr>
      <w:tr w:rsidR="00196478" w:rsidRPr="0004573C" w:rsidTr="009D7B87">
        <w:tc>
          <w:tcPr>
            <w:tcW w:w="828"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2009</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47.7</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4.6</w:t>
            </w:r>
            <w:r w:rsidR="003E4C4F">
              <w:rPr>
                <w:rFonts w:ascii="Times New Roman" w:hAnsi="Times New Roman" w:cs="Times New Roman"/>
                <w:sz w:val="24"/>
                <w:szCs w:val="24"/>
              </w:rPr>
              <w:t>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6.7</w:t>
            </w:r>
            <w:r w:rsidR="003E4C4F">
              <w:rPr>
                <w:rFonts w:ascii="Times New Roman" w:hAnsi="Times New Roman" w:cs="Times New Roman"/>
                <w:sz w:val="24"/>
                <w:szCs w:val="24"/>
              </w:rPr>
              <w:t>0</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54.3</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5.2</w:t>
            </w:r>
            <w:r w:rsidR="003E4C4F">
              <w:rPr>
                <w:rFonts w:ascii="Times New Roman" w:hAnsi="Times New Roman" w:cs="Times New Roman"/>
                <w:sz w:val="24"/>
                <w:szCs w:val="24"/>
              </w:rPr>
              <w:t>0</w:t>
            </w:r>
          </w:p>
        </w:tc>
      </w:tr>
      <w:tr w:rsidR="00196478" w:rsidRPr="0004573C" w:rsidTr="009D7B87">
        <w:tc>
          <w:tcPr>
            <w:tcW w:w="828"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2010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55.7</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4.4</w:t>
            </w:r>
            <w:r w:rsidR="003E4C4F">
              <w:rPr>
                <w:rFonts w:ascii="Times New Roman" w:hAnsi="Times New Roman" w:cs="Times New Roman"/>
                <w:sz w:val="24"/>
                <w:szCs w:val="24"/>
              </w:rPr>
              <w:t>0</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8.7</w:t>
            </w:r>
            <w:r w:rsidR="003E4C4F">
              <w:rPr>
                <w:rFonts w:ascii="Times New Roman" w:hAnsi="Times New Roman" w:cs="Times New Roman"/>
                <w:sz w:val="24"/>
                <w:szCs w:val="24"/>
              </w:rPr>
              <w:t>0</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0.71</w:t>
            </w:r>
          </w:p>
        </w:tc>
        <w:tc>
          <w:tcPr>
            <w:tcW w:w="153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64.4</w:t>
            </w:r>
          </w:p>
        </w:tc>
        <w:tc>
          <w:tcPr>
            <w:tcW w:w="1620" w:type="dxa"/>
          </w:tcPr>
          <w:p w:rsidR="00196478"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5.1</w:t>
            </w:r>
            <w:r w:rsidR="003E4C4F">
              <w:rPr>
                <w:rFonts w:ascii="Times New Roman" w:hAnsi="Times New Roman" w:cs="Times New Roman"/>
                <w:sz w:val="24"/>
                <w:szCs w:val="24"/>
              </w:rPr>
              <w:t>0</w:t>
            </w:r>
          </w:p>
        </w:tc>
      </w:tr>
      <w:tr w:rsidR="0004573C" w:rsidRPr="0004573C" w:rsidTr="009D7B87">
        <w:tc>
          <w:tcPr>
            <w:tcW w:w="828"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2011</w:t>
            </w: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49.0</w:t>
            </w:r>
          </w:p>
        </w:tc>
        <w:tc>
          <w:tcPr>
            <w:tcW w:w="162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3.4</w:t>
            </w:r>
            <w:r w:rsidR="003E4C4F">
              <w:rPr>
                <w:rFonts w:ascii="Times New Roman" w:hAnsi="Times New Roman" w:cs="Times New Roman"/>
                <w:sz w:val="24"/>
                <w:szCs w:val="24"/>
              </w:rPr>
              <w:t>0</w:t>
            </w: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w:t>
            </w:r>
            <w:r w:rsidR="003E4C4F">
              <w:rPr>
                <w:rFonts w:ascii="Times New Roman" w:hAnsi="Times New Roman" w:cs="Times New Roman"/>
                <w:sz w:val="24"/>
                <w:szCs w:val="24"/>
              </w:rPr>
              <w:t>.0</w:t>
            </w:r>
          </w:p>
        </w:tc>
        <w:tc>
          <w:tcPr>
            <w:tcW w:w="162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0.70</w:t>
            </w:r>
          </w:p>
        </w:tc>
        <w:tc>
          <w:tcPr>
            <w:tcW w:w="153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59.0</w:t>
            </w:r>
          </w:p>
        </w:tc>
        <w:tc>
          <w:tcPr>
            <w:tcW w:w="1620"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4.1</w:t>
            </w:r>
            <w:r w:rsidR="003E4C4F">
              <w:rPr>
                <w:rFonts w:ascii="Times New Roman" w:hAnsi="Times New Roman" w:cs="Times New Roman"/>
                <w:sz w:val="24"/>
                <w:szCs w:val="24"/>
              </w:rPr>
              <w:t>0</w:t>
            </w:r>
          </w:p>
        </w:tc>
      </w:tr>
      <w:tr w:rsidR="0004573C" w:rsidRPr="0004573C" w:rsidTr="009D7B87">
        <w:tc>
          <w:tcPr>
            <w:tcW w:w="828" w:type="dxa"/>
          </w:tcPr>
          <w:p w:rsidR="0004573C" w:rsidRPr="0004573C" w:rsidRDefault="0004573C" w:rsidP="0004573C">
            <w:pPr>
              <w:autoSpaceDE w:val="0"/>
              <w:autoSpaceDN w:val="0"/>
              <w:adjustRightInd w:val="0"/>
              <w:ind w:left="0"/>
              <w:jc w:val="center"/>
              <w:rPr>
                <w:rFonts w:ascii="Times New Roman" w:hAnsi="Times New Roman" w:cs="Times New Roman"/>
                <w:sz w:val="24"/>
                <w:szCs w:val="24"/>
              </w:rPr>
            </w:pPr>
            <w:r w:rsidRPr="0004573C">
              <w:rPr>
                <w:rFonts w:ascii="Times New Roman" w:hAnsi="Times New Roman" w:cs="Times New Roman"/>
                <w:sz w:val="24"/>
                <w:szCs w:val="24"/>
              </w:rPr>
              <w:t>2012</w:t>
            </w:r>
          </w:p>
        </w:tc>
        <w:tc>
          <w:tcPr>
            <w:tcW w:w="1530" w:type="dxa"/>
          </w:tcPr>
          <w:p w:rsidR="0004573C" w:rsidRPr="0004573C" w:rsidRDefault="003C7FA1" w:rsidP="003E4C4F">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42.7</w:t>
            </w:r>
          </w:p>
        </w:tc>
        <w:tc>
          <w:tcPr>
            <w:tcW w:w="1620" w:type="dxa"/>
          </w:tcPr>
          <w:p w:rsidR="0004573C" w:rsidRPr="0004573C" w:rsidRDefault="003E4C4F" w:rsidP="003E4C4F">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3.17</w:t>
            </w:r>
          </w:p>
        </w:tc>
        <w:tc>
          <w:tcPr>
            <w:tcW w:w="1530" w:type="dxa"/>
          </w:tcPr>
          <w:p w:rsidR="0004573C" w:rsidRPr="0004573C" w:rsidRDefault="003C7FA1" w:rsidP="003E4C4F">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1620" w:type="dxa"/>
          </w:tcPr>
          <w:p w:rsidR="0004573C" w:rsidRPr="0004573C" w:rsidRDefault="003E4C4F" w:rsidP="003E4C4F">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0.78</w:t>
            </w:r>
          </w:p>
        </w:tc>
        <w:tc>
          <w:tcPr>
            <w:tcW w:w="1530" w:type="dxa"/>
          </w:tcPr>
          <w:p w:rsidR="0004573C" w:rsidRPr="0004573C" w:rsidRDefault="003E4C4F" w:rsidP="003E4C4F">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53.2</w:t>
            </w:r>
          </w:p>
        </w:tc>
        <w:tc>
          <w:tcPr>
            <w:tcW w:w="1620" w:type="dxa"/>
          </w:tcPr>
          <w:p w:rsidR="0004573C" w:rsidRPr="0004573C" w:rsidRDefault="003E4C4F" w:rsidP="003E4C4F">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3.96</w:t>
            </w:r>
          </w:p>
        </w:tc>
      </w:tr>
    </w:tbl>
    <w:p w:rsidR="00196478" w:rsidRPr="0004573C" w:rsidRDefault="00196478" w:rsidP="002A07F7">
      <w:pPr>
        <w:autoSpaceDE w:val="0"/>
        <w:autoSpaceDN w:val="0"/>
        <w:adjustRightInd w:val="0"/>
        <w:spacing w:line="240" w:lineRule="auto"/>
        <w:ind w:left="0"/>
        <w:rPr>
          <w:rFonts w:ascii="Times New Roman" w:hAnsi="Times New Roman" w:cs="Times New Roman"/>
          <w:sz w:val="24"/>
          <w:szCs w:val="24"/>
        </w:rPr>
      </w:pPr>
    </w:p>
    <w:p w:rsidR="00196478" w:rsidRPr="00AA0D20" w:rsidRDefault="00432951" w:rsidP="002A07F7">
      <w:pPr>
        <w:autoSpaceDE w:val="0"/>
        <w:autoSpaceDN w:val="0"/>
        <w:adjustRightInd w:val="0"/>
        <w:spacing w:line="240" w:lineRule="auto"/>
        <w:ind w:left="0"/>
        <w:rPr>
          <w:rFonts w:ascii="Times New Roman" w:hAnsi="Times New Roman" w:cs="Times New Roman"/>
          <w:sz w:val="24"/>
          <w:szCs w:val="24"/>
        </w:rPr>
      </w:pPr>
      <w:r w:rsidRPr="00AA0D20">
        <w:rPr>
          <w:rFonts w:ascii="Times New Roman" w:hAnsi="Times New Roman" w:cs="Times New Roman"/>
          <w:sz w:val="24"/>
          <w:szCs w:val="24"/>
        </w:rPr>
        <w:t>1. Insurance density is measured as ratio of premium (in US dollar) to total population.</w:t>
      </w:r>
    </w:p>
    <w:p w:rsidR="00432951" w:rsidRPr="00AA0D20" w:rsidRDefault="00432951" w:rsidP="002A07F7">
      <w:pPr>
        <w:autoSpaceDE w:val="0"/>
        <w:autoSpaceDN w:val="0"/>
        <w:adjustRightInd w:val="0"/>
        <w:spacing w:line="240" w:lineRule="auto"/>
        <w:ind w:left="0"/>
        <w:rPr>
          <w:rFonts w:ascii="Times New Roman" w:hAnsi="Times New Roman" w:cs="Times New Roman"/>
          <w:sz w:val="24"/>
          <w:szCs w:val="24"/>
        </w:rPr>
      </w:pPr>
      <w:r w:rsidRPr="00AA0D20">
        <w:rPr>
          <w:rFonts w:ascii="Times New Roman" w:hAnsi="Times New Roman" w:cs="Times New Roman"/>
          <w:sz w:val="24"/>
          <w:szCs w:val="24"/>
        </w:rPr>
        <w:t>2. Insurance penetration is measured as ratio of premium (in US dollar) to GDP (in US dollar).</w:t>
      </w:r>
    </w:p>
    <w:p w:rsidR="00432951" w:rsidRPr="00AA0D20" w:rsidRDefault="00AA0D20" w:rsidP="002A07F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Source: Swiss Re. V</w:t>
      </w:r>
      <w:r w:rsidR="00432951" w:rsidRPr="00AA0D20">
        <w:rPr>
          <w:rFonts w:ascii="Times New Roman" w:hAnsi="Times New Roman" w:cs="Times New Roman"/>
          <w:sz w:val="24"/>
          <w:szCs w:val="24"/>
        </w:rPr>
        <w:t xml:space="preserve">arious issues </w:t>
      </w:r>
    </w:p>
    <w:p w:rsidR="00722D89" w:rsidRDefault="00722D89" w:rsidP="002A07F7">
      <w:pPr>
        <w:autoSpaceDE w:val="0"/>
        <w:autoSpaceDN w:val="0"/>
        <w:adjustRightInd w:val="0"/>
        <w:spacing w:line="240" w:lineRule="auto"/>
        <w:ind w:left="0"/>
        <w:rPr>
          <w:rFonts w:ascii="Times New Roman" w:hAnsi="Times New Roman" w:cs="Times New Roman"/>
          <w:sz w:val="24"/>
          <w:szCs w:val="24"/>
        </w:rPr>
      </w:pPr>
    </w:p>
    <w:p w:rsidR="00F96A7D" w:rsidRDefault="00F96A7D" w:rsidP="002A07F7">
      <w:pPr>
        <w:autoSpaceDE w:val="0"/>
        <w:autoSpaceDN w:val="0"/>
        <w:adjustRightInd w:val="0"/>
        <w:spacing w:line="240" w:lineRule="auto"/>
        <w:ind w:left="0"/>
        <w:rPr>
          <w:rFonts w:ascii="Times New Roman" w:hAnsi="Times New Roman" w:cs="Times New Roman"/>
          <w:sz w:val="24"/>
          <w:szCs w:val="24"/>
        </w:rPr>
      </w:pPr>
    </w:p>
    <w:p w:rsidR="002A07F7" w:rsidRPr="00A355D2" w:rsidRDefault="00AA0D20" w:rsidP="002A07F7">
      <w:pPr>
        <w:autoSpaceDE w:val="0"/>
        <w:autoSpaceDN w:val="0"/>
        <w:adjustRightInd w:val="0"/>
        <w:spacing w:line="240" w:lineRule="auto"/>
        <w:ind w:left="0"/>
        <w:rPr>
          <w:rFonts w:ascii="Times New Roman" w:hAnsi="Times New Roman" w:cs="Times New Roman"/>
          <w:b/>
          <w:sz w:val="24"/>
          <w:szCs w:val="24"/>
        </w:rPr>
      </w:pPr>
      <w:r w:rsidRPr="00A355D2">
        <w:rPr>
          <w:rFonts w:ascii="Times New Roman" w:hAnsi="Times New Roman" w:cs="Times New Roman"/>
          <w:b/>
          <w:sz w:val="24"/>
          <w:szCs w:val="24"/>
        </w:rPr>
        <w:t xml:space="preserve">GROWTH AND PROFITABILITY TRENDS IN THE </w:t>
      </w:r>
      <w:r w:rsidR="00DE29AB" w:rsidRPr="00A355D2">
        <w:rPr>
          <w:rFonts w:ascii="Times New Roman" w:hAnsi="Times New Roman" w:cs="Times New Roman"/>
          <w:b/>
          <w:sz w:val="24"/>
          <w:szCs w:val="24"/>
        </w:rPr>
        <w:t>GENERAL INSURANCE</w:t>
      </w:r>
      <w:r w:rsidR="002A07F7" w:rsidRPr="00A355D2">
        <w:rPr>
          <w:rFonts w:ascii="Times New Roman" w:hAnsi="Times New Roman" w:cs="Times New Roman"/>
          <w:b/>
          <w:sz w:val="24"/>
          <w:szCs w:val="24"/>
        </w:rPr>
        <w:t xml:space="preserve"> INDUSTRY</w:t>
      </w:r>
    </w:p>
    <w:p w:rsidR="003353A2" w:rsidRDefault="003353A2" w:rsidP="002A07F7">
      <w:pPr>
        <w:autoSpaceDE w:val="0"/>
        <w:autoSpaceDN w:val="0"/>
        <w:adjustRightInd w:val="0"/>
        <w:spacing w:line="240" w:lineRule="auto"/>
        <w:ind w:left="0"/>
        <w:rPr>
          <w:rFonts w:ascii="Times New Roman" w:hAnsi="Times New Roman" w:cs="Times New Roman"/>
          <w:sz w:val="24"/>
          <w:szCs w:val="24"/>
        </w:rPr>
      </w:pPr>
    </w:p>
    <w:p w:rsidR="00152F12" w:rsidRDefault="00DE29AB" w:rsidP="007666A7">
      <w:pPr>
        <w:autoSpaceDE w:val="0"/>
        <w:autoSpaceDN w:val="0"/>
        <w:adjustRightInd w:val="0"/>
        <w:spacing w:line="240" w:lineRule="auto"/>
        <w:ind w:left="0"/>
        <w:jc w:val="both"/>
        <w:rPr>
          <w:rFonts w:ascii="Times New Roman" w:hAnsi="Times New Roman" w:cs="Times New Roman"/>
          <w:color w:val="000000"/>
          <w:sz w:val="24"/>
          <w:szCs w:val="24"/>
        </w:rPr>
      </w:pPr>
      <w:r w:rsidRPr="003353A2">
        <w:rPr>
          <w:rStyle w:val="A15"/>
          <w:rFonts w:ascii="Times New Roman" w:hAnsi="Times New Roman" w:cs="Times New Roman"/>
          <w:sz w:val="24"/>
          <w:szCs w:val="24"/>
        </w:rPr>
        <w:t>While the Indian general insurance industry has evolved significantly over the past decade or so, the insurance penetration</w:t>
      </w:r>
      <w:r w:rsidR="00F96A7D">
        <w:rPr>
          <w:rStyle w:val="A15"/>
          <w:rFonts w:ascii="Times New Roman" w:hAnsi="Times New Roman" w:cs="Times New Roman"/>
          <w:sz w:val="24"/>
          <w:szCs w:val="24"/>
        </w:rPr>
        <w:t xml:space="preserve"> (Graph 2)</w:t>
      </w:r>
      <w:r w:rsidRPr="003353A2">
        <w:rPr>
          <w:rStyle w:val="A15"/>
          <w:rFonts w:ascii="Times New Roman" w:hAnsi="Times New Roman" w:cs="Times New Roman"/>
          <w:sz w:val="24"/>
          <w:szCs w:val="24"/>
        </w:rPr>
        <w:t xml:space="preserve"> and insurance density levels </w:t>
      </w:r>
      <w:r w:rsidR="00F96A7D">
        <w:rPr>
          <w:rStyle w:val="A15"/>
          <w:rFonts w:ascii="Times New Roman" w:hAnsi="Times New Roman" w:cs="Times New Roman"/>
          <w:sz w:val="24"/>
          <w:szCs w:val="24"/>
        </w:rPr>
        <w:t xml:space="preserve">(Graph 3) </w:t>
      </w:r>
      <w:r w:rsidRPr="003353A2">
        <w:rPr>
          <w:rStyle w:val="A15"/>
          <w:rFonts w:ascii="Times New Roman" w:hAnsi="Times New Roman" w:cs="Times New Roman"/>
          <w:sz w:val="24"/>
          <w:szCs w:val="24"/>
        </w:rPr>
        <w:t>are significantly lower than the developed as well as comparable developing countries. The under-penetration is driven by lack of overall financial awareness, lack of understanding of general insurance products, low perceived benefits, and propensity to purchase insurance based on reactive drivers such as insistence by financers, statutory requirements, etc.</w:t>
      </w:r>
      <w:r w:rsidR="00A355D2" w:rsidRPr="00A355D2">
        <w:rPr>
          <w:rFonts w:cs="Univers LT Std 45 Light"/>
          <w:color w:val="000000"/>
          <w:sz w:val="19"/>
          <w:szCs w:val="19"/>
        </w:rPr>
        <w:t xml:space="preserve"> </w:t>
      </w:r>
      <w:r w:rsidR="00A355D2" w:rsidRPr="00A355D2">
        <w:rPr>
          <w:rFonts w:ascii="Times New Roman" w:hAnsi="Times New Roman" w:cs="Times New Roman"/>
          <w:color w:val="000000"/>
          <w:sz w:val="24"/>
          <w:szCs w:val="24"/>
        </w:rPr>
        <w:t>Apart from macro-economic, social, and demographic growth drivers, the evolving regulatory landscape had a significant impact on the growth and profitability trends in the industry. The most notable of them was the price detariffication in 2007 which significantly impacted the premium rates and growth for commercial lines and health insurance</w:t>
      </w:r>
      <w:r w:rsidR="00A355D2" w:rsidRPr="00152F12">
        <w:rPr>
          <w:rFonts w:ascii="Times New Roman" w:hAnsi="Times New Roman" w:cs="Times New Roman"/>
          <w:color w:val="000000"/>
          <w:sz w:val="24"/>
          <w:szCs w:val="24"/>
        </w:rPr>
        <w:t>. The insurance penetration statistics may not represent the true perspective on coverage of the underlying risk due to changes in the premium rates across segments which were significantly influenced by the regulations.</w:t>
      </w:r>
    </w:p>
    <w:p w:rsidR="007666A7" w:rsidRPr="00152F12" w:rsidRDefault="007666A7" w:rsidP="007666A7">
      <w:pPr>
        <w:autoSpaceDE w:val="0"/>
        <w:autoSpaceDN w:val="0"/>
        <w:adjustRightInd w:val="0"/>
        <w:spacing w:line="240" w:lineRule="auto"/>
        <w:ind w:left="0"/>
        <w:jc w:val="both"/>
        <w:rPr>
          <w:rStyle w:val="A15"/>
          <w:rFonts w:ascii="Times New Roman" w:hAnsi="Times New Roman" w:cs="Times New Roman"/>
          <w:sz w:val="24"/>
          <w:szCs w:val="24"/>
        </w:rPr>
      </w:pPr>
    </w:p>
    <w:p w:rsidR="003353A2" w:rsidRPr="003353A2" w:rsidRDefault="003353A2" w:rsidP="003353A2">
      <w:pPr>
        <w:pStyle w:val="Pa2"/>
        <w:spacing w:after="120"/>
        <w:rPr>
          <w:rFonts w:ascii="Times New Roman" w:hAnsi="Times New Roman" w:cs="Times New Roman"/>
          <w:color w:val="000000"/>
        </w:rPr>
      </w:pPr>
      <w:r>
        <w:rPr>
          <w:rStyle w:val="A15"/>
          <w:rFonts w:ascii="Times New Roman" w:hAnsi="Times New Roman" w:cs="Times New Roman"/>
          <w:sz w:val="24"/>
          <w:szCs w:val="24"/>
        </w:rPr>
        <w:t xml:space="preserve">GRAPH 2: </w:t>
      </w:r>
      <w:r w:rsidRPr="003353A2">
        <w:rPr>
          <w:rStyle w:val="A5"/>
          <w:rFonts w:ascii="Times New Roman" w:hAnsi="Times New Roman" w:cs="Times New Roman"/>
          <w:sz w:val="24"/>
          <w:szCs w:val="24"/>
        </w:rPr>
        <w:t xml:space="preserve">General insurance penetration in percentage (Ratio of Premium to GDP) </w:t>
      </w:r>
    </w:p>
    <w:p w:rsidR="00DE29AB" w:rsidRDefault="00DE29AB" w:rsidP="002A07F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7F7" w:rsidRDefault="002A07F7" w:rsidP="002A07F7">
      <w:pPr>
        <w:autoSpaceDE w:val="0"/>
        <w:autoSpaceDN w:val="0"/>
        <w:adjustRightInd w:val="0"/>
        <w:spacing w:line="240" w:lineRule="auto"/>
        <w:ind w:left="0"/>
        <w:rPr>
          <w:rFonts w:ascii="Times New Roman" w:hAnsi="Times New Roman" w:cs="Times New Roman"/>
          <w:sz w:val="24"/>
          <w:szCs w:val="24"/>
        </w:rPr>
      </w:pPr>
    </w:p>
    <w:p w:rsidR="003353A2" w:rsidRPr="003353A2" w:rsidRDefault="003353A2" w:rsidP="003353A2">
      <w:pPr>
        <w:pStyle w:val="Pa19"/>
        <w:rPr>
          <w:rFonts w:ascii="Times New Roman" w:hAnsi="Times New Roman" w:cs="Times New Roman"/>
          <w:color w:val="000000"/>
          <w:sz w:val="18"/>
          <w:szCs w:val="18"/>
        </w:rPr>
      </w:pPr>
      <w:r w:rsidRPr="003353A2">
        <w:rPr>
          <w:rStyle w:val="A8"/>
          <w:rFonts w:ascii="Times New Roman" w:hAnsi="Times New Roman" w:cs="Times New Roman"/>
          <w:sz w:val="18"/>
          <w:szCs w:val="18"/>
        </w:rPr>
        <w:t xml:space="preserve">Source: Swiss Re, Sigma Volumes 2/2011 and 3/2012, </w:t>
      </w:r>
    </w:p>
    <w:p w:rsidR="002A07F7" w:rsidRDefault="003353A2" w:rsidP="003353A2">
      <w:pPr>
        <w:autoSpaceDE w:val="0"/>
        <w:autoSpaceDN w:val="0"/>
        <w:adjustRightInd w:val="0"/>
        <w:spacing w:line="240" w:lineRule="auto"/>
        <w:ind w:left="0"/>
        <w:rPr>
          <w:rStyle w:val="A8"/>
          <w:rFonts w:ascii="Times New Roman" w:hAnsi="Times New Roman" w:cs="Times New Roman"/>
          <w:sz w:val="18"/>
          <w:szCs w:val="18"/>
        </w:rPr>
      </w:pPr>
      <w:r w:rsidRPr="003353A2">
        <w:rPr>
          <w:rStyle w:val="A8"/>
          <w:rFonts w:ascii="Times New Roman" w:hAnsi="Times New Roman" w:cs="Times New Roman"/>
          <w:sz w:val="18"/>
          <w:szCs w:val="18"/>
        </w:rPr>
        <w:t>Note: Data for India pertains to FY12 whereas for other countries, it pertains to the year 2011</w:t>
      </w:r>
    </w:p>
    <w:p w:rsidR="003353A2" w:rsidRPr="003353A2" w:rsidRDefault="003353A2" w:rsidP="003353A2">
      <w:pPr>
        <w:autoSpaceDE w:val="0"/>
        <w:autoSpaceDN w:val="0"/>
        <w:adjustRightInd w:val="0"/>
        <w:spacing w:line="240" w:lineRule="auto"/>
        <w:ind w:left="0"/>
        <w:rPr>
          <w:rFonts w:ascii="Times New Roman" w:hAnsi="Times New Roman" w:cs="Times New Roman"/>
          <w:sz w:val="18"/>
          <w:szCs w:val="18"/>
        </w:rPr>
      </w:pPr>
    </w:p>
    <w:p w:rsidR="002A07F7" w:rsidRDefault="002A07F7" w:rsidP="002A07F7">
      <w:pPr>
        <w:autoSpaceDE w:val="0"/>
        <w:autoSpaceDN w:val="0"/>
        <w:adjustRightInd w:val="0"/>
        <w:spacing w:line="240" w:lineRule="auto"/>
        <w:ind w:left="0"/>
        <w:rPr>
          <w:rFonts w:ascii="Times New Roman" w:hAnsi="Times New Roman" w:cs="Times New Roman"/>
          <w:sz w:val="18"/>
          <w:szCs w:val="18"/>
        </w:rPr>
      </w:pPr>
    </w:p>
    <w:p w:rsidR="00F96A7D" w:rsidRPr="00F96A7D" w:rsidRDefault="00F96A7D" w:rsidP="002A07F7">
      <w:pPr>
        <w:autoSpaceDE w:val="0"/>
        <w:autoSpaceDN w:val="0"/>
        <w:adjustRightInd w:val="0"/>
        <w:spacing w:line="240" w:lineRule="auto"/>
        <w:ind w:left="0"/>
        <w:rPr>
          <w:rFonts w:ascii="Times New Roman" w:hAnsi="Times New Roman" w:cs="Times New Roman"/>
          <w:sz w:val="24"/>
          <w:szCs w:val="24"/>
        </w:rPr>
      </w:pPr>
      <w:r w:rsidRPr="00F96A7D">
        <w:rPr>
          <w:rStyle w:val="A5"/>
          <w:rFonts w:ascii="Times New Roman" w:hAnsi="Times New Roman" w:cs="Times New Roman"/>
          <w:sz w:val="24"/>
          <w:szCs w:val="24"/>
        </w:rPr>
        <w:t>GRAPH 3: General insurance density (Ratio of premium in USD to population)</w:t>
      </w:r>
    </w:p>
    <w:p w:rsidR="00F96A7D" w:rsidRDefault="00F96A7D" w:rsidP="002A07F7">
      <w:pPr>
        <w:autoSpaceDE w:val="0"/>
        <w:autoSpaceDN w:val="0"/>
        <w:adjustRightInd w:val="0"/>
        <w:spacing w:line="240" w:lineRule="auto"/>
        <w:ind w:left="0"/>
        <w:rPr>
          <w:rFonts w:ascii="Times New Roman" w:hAnsi="Times New Roman" w:cs="Times New Roman"/>
          <w:sz w:val="24"/>
          <w:szCs w:val="24"/>
        </w:rPr>
      </w:pPr>
    </w:p>
    <w:p w:rsidR="00F96A7D" w:rsidRDefault="00F96A7D" w:rsidP="002A07F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486400" cy="30384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6A7D" w:rsidRDefault="00F96A7D" w:rsidP="002A07F7">
      <w:pPr>
        <w:autoSpaceDE w:val="0"/>
        <w:autoSpaceDN w:val="0"/>
        <w:adjustRightInd w:val="0"/>
        <w:spacing w:line="240" w:lineRule="auto"/>
        <w:ind w:left="0"/>
        <w:rPr>
          <w:rFonts w:ascii="Times New Roman" w:hAnsi="Times New Roman" w:cs="Times New Roman"/>
          <w:sz w:val="24"/>
          <w:szCs w:val="24"/>
        </w:rPr>
      </w:pPr>
    </w:p>
    <w:p w:rsidR="00CE1671" w:rsidRPr="00CE1671" w:rsidRDefault="00CE1671" w:rsidP="00CE1671">
      <w:pPr>
        <w:pStyle w:val="Pa19"/>
        <w:rPr>
          <w:rFonts w:ascii="Times New Roman" w:hAnsi="Times New Roman" w:cs="Times New Roman"/>
          <w:color w:val="000000"/>
          <w:sz w:val="18"/>
          <w:szCs w:val="18"/>
        </w:rPr>
      </w:pPr>
      <w:r w:rsidRPr="00CE1671">
        <w:rPr>
          <w:rStyle w:val="A8"/>
          <w:rFonts w:ascii="Times New Roman" w:hAnsi="Times New Roman" w:cs="Times New Roman"/>
          <w:sz w:val="18"/>
          <w:szCs w:val="18"/>
        </w:rPr>
        <w:t xml:space="preserve">Source: Swiss Re, Sigma Volumes 2/2011 and 3/2012, </w:t>
      </w:r>
    </w:p>
    <w:p w:rsidR="00F96A7D" w:rsidRPr="00CE1671" w:rsidRDefault="00CE1671" w:rsidP="00CE1671">
      <w:pPr>
        <w:autoSpaceDE w:val="0"/>
        <w:autoSpaceDN w:val="0"/>
        <w:adjustRightInd w:val="0"/>
        <w:spacing w:line="240" w:lineRule="auto"/>
        <w:ind w:left="0"/>
        <w:rPr>
          <w:rFonts w:ascii="Times New Roman" w:hAnsi="Times New Roman" w:cs="Times New Roman"/>
          <w:sz w:val="18"/>
          <w:szCs w:val="18"/>
        </w:rPr>
      </w:pPr>
      <w:r w:rsidRPr="00CE1671">
        <w:rPr>
          <w:rStyle w:val="A8"/>
          <w:rFonts w:ascii="Times New Roman" w:hAnsi="Times New Roman" w:cs="Times New Roman"/>
          <w:sz w:val="18"/>
          <w:szCs w:val="18"/>
        </w:rPr>
        <w:t>Note: Data for India pertains to FY12 whereas for other countries, it pertains to the year 2011</w:t>
      </w:r>
    </w:p>
    <w:p w:rsidR="00F96A7D" w:rsidRPr="00CE1671" w:rsidRDefault="00F96A7D" w:rsidP="002A07F7">
      <w:pPr>
        <w:autoSpaceDE w:val="0"/>
        <w:autoSpaceDN w:val="0"/>
        <w:adjustRightInd w:val="0"/>
        <w:spacing w:line="240" w:lineRule="auto"/>
        <w:ind w:left="0"/>
        <w:rPr>
          <w:rFonts w:ascii="Times New Roman" w:hAnsi="Times New Roman" w:cs="Times New Roman"/>
          <w:sz w:val="18"/>
          <w:szCs w:val="18"/>
        </w:rPr>
      </w:pPr>
    </w:p>
    <w:p w:rsidR="00F96A7D" w:rsidRDefault="00F96A7D" w:rsidP="002A07F7">
      <w:pPr>
        <w:autoSpaceDE w:val="0"/>
        <w:autoSpaceDN w:val="0"/>
        <w:adjustRightInd w:val="0"/>
        <w:spacing w:line="240" w:lineRule="auto"/>
        <w:ind w:left="0"/>
        <w:rPr>
          <w:rFonts w:ascii="Times New Roman" w:hAnsi="Times New Roman" w:cs="Times New Roman"/>
          <w:sz w:val="24"/>
          <w:szCs w:val="24"/>
        </w:rPr>
      </w:pPr>
    </w:p>
    <w:p w:rsidR="007666A7" w:rsidRDefault="007666A7" w:rsidP="00BC68BD">
      <w:pPr>
        <w:autoSpaceDE w:val="0"/>
        <w:autoSpaceDN w:val="0"/>
        <w:adjustRightInd w:val="0"/>
        <w:spacing w:line="240" w:lineRule="auto"/>
        <w:ind w:left="0"/>
        <w:jc w:val="both"/>
        <w:rPr>
          <w:rStyle w:val="A2"/>
          <w:rFonts w:ascii="Times New Roman" w:hAnsi="Times New Roman" w:cs="Times New Roman"/>
          <w:b/>
        </w:rPr>
      </w:pPr>
    </w:p>
    <w:p w:rsidR="007666A7" w:rsidRDefault="007666A7" w:rsidP="00BC68BD">
      <w:pPr>
        <w:autoSpaceDE w:val="0"/>
        <w:autoSpaceDN w:val="0"/>
        <w:adjustRightInd w:val="0"/>
        <w:spacing w:line="240" w:lineRule="auto"/>
        <w:ind w:left="0"/>
        <w:jc w:val="both"/>
        <w:rPr>
          <w:rStyle w:val="A2"/>
          <w:rFonts w:ascii="Times New Roman" w:hAnsi="Times New Roman" w:cs="Times New Roman"/>
          <w:b/>
        </w:rPr>
      </w:pPr>
    </w:p>
    <w:p w:rsidR="005179F2" w:rsidRDefault="005179F2" w:rsidP="00BC68BD">
      <w:pPr>
        <w:autoSpaceDE w:val="0"/>
        <w:autoSpaceDN w:val="0"/>
        <w:adjustRightInd w:val="0"/>
        <w:spacing w:line="240" w:lineRule="auto"/>
        <w:ind w:left="0"/>
        <w:jc w:val="both"/>
        <w:rPr>
          <w:rStyle w:val="A2"/>
          <w:rFonts w:ascii="Times New Roman" w:hAnsi="Times New Roman" w:cs="Times New Roman"/>
          <w:b/>
        </w:rPr>
      </w:pPr>
    </w:p>
    <w:p w:rsidR="00F96A7D" w:rsidRPr="00A355D2" w:rsidRDefault="00A355D2" w:rsidP="00BC68BD">
      <w:pPr>
        <w:autoSpaceDE w:val="0"/>
        <w:autoSpaceDN w:val="0"/>
        <w:adjustRightInd w:val="0"/>
        <w:spacing w:line="240" w:lineRule="auto"/>
        <w:ind w:left="0"/>
        <w:jc w:val="both"/>
        <w:rPr>
          <w:rStyle w:val="A2"/>
          <w:rFonts w:ascii="Times New Roman" w:hAnsi="Times New Roman" w:cs="Times New Roman"/>
          <w:b/>
        </w:rPr>
      </w:pPr>
      <w:r w:rsidRPr="00A355D2">
        <w:rPr>
          <w:rStyle w:val="A2"/>
          <w:rFonts w:ascii="Times New Roman" w:hAnsi="Times New Roman" w:cs="Times New Roman"/>
          <w:b/>
        </w:rPr>
        <w:lastRenderedPageBreak/>
        <w:t>COMPETITIVE STRATEGIES</w:t>
      </w:r>
    </w:p>
    <w:p w:rsidR="00A355D2" w:rsidRPr="00A355D2" w:rsidRDefault="00A355D2" w:rsidP="00BC68BD">
      <w:pPr>
        <w:autoSpaceDE w:val="0"/>
        <w:autoSpaceDN w:val="0"/>
        <w:adjustRightInd w:val="0"/>
        <w:spacing w:line="240" w:lineRule="auto"/>
        <w:ind w:left="0"/>
        <w:jc w:val="both"/>
        <w:rPr>
          <w:rFonts w:ascii="Times New Roman" w:hAnsi="Times New Roman" w:cs="Times New Roman"/>
          <w:b/>
          <w:sz w:val="24"/>
          <w:szCs w:val="24"/>
        </w:rPr>
      </w:pPr>
    </w:p>
    <w:p w:rsidR="00F96A7D" w:rsidRDefault="00A355D2" w:rsidP="00BC68BD">
      <w:pPr>
        <w:autoSpaceDE w:val="0"/>
        <w:autoSpaceDN w:val="0"/>
        <w:adjustRightInd w:val="0"/>
        <w:spacing w:line="240" w:lineRule="auto"/>
        <w:ind w:left="0"/>
        <w:jc w:val="both"/>
        <w:rPr>
          <w:rFonts w:ascii="Times New Roman" w:hAnsi="Times New Roman" w:cs="Times New Roman"/>
          <w:color w:val="000000"/>
          <w:sz w:val="24"/>
          <w:szCs w:val="24"/>
        </w:rPr>
      </w:pPr>
      <w:r w:rsidRPr="00A355D2">
        <w:rPr>
          <w:rFonts w:ascii="Times New Roman" w:hAnsi="Times New Roman" w:cs="Times New Roman"/>
          <w:color w:val="000000"/>
          <w:sz w:val="24"/>
          <w:szCs w:val="24"/>
        </w:rPr>
        <w:t>Competitive strategies adopted by the insurance players would have considerable impact on the growth and profitability trends in the general insurance industry. Different competition segments have different strategic imperatives based on the historical business performance, capabilities developed over the period of time and strategic objectives of the promoters.</w:t>
      </w:r>
      <w:r>
        <w:rPr>
          <w:rFonts w:ascii="Times New Roman" w:hAnsi="Times New Roman" w:cs="Times New Roman"/>
          <w:color w:val="000000"/>
          <w:sz w:val="24"/>
          <w:szCs w:val="24"/>
        </w:rPr>
        <w:t xml:space="preserve"> Some factors are discussed below:</w:t>
      </w:r>
    </w:p>
    <w:p w:rsidR="00A355D2" w:rsidRPr="00A355D2" w:rsidRDefault="00A355D2" w:rsidP="00BC68BD">
      <w:pPr>
        <w:autoSpaceDE w:val="0"/>
        <w:autoSpaceDN w:val="0"/>
        <w:adjustRightInd w:val="0"/>
        <w:spacing w:line="240" w:lineRule="auto"/>
        <w:ind w:left="0"/>
        <w:jc w:val="both"/>
        <w:rPr>
          <w:rFonts w:ascii="Times New Roman" w:hAnsi="Times New Roman" w:cs="Times New Roman"/>
          <w:color w:val="000000"/>
        </w:rPr>
      </w:pPr>
    </w:p>
    <w:p w:rsidR="00A355D2" w:rsidRPr="00A355D2" w:rsidRDefault="00A355D2" w:rsidP="00BC68BD">
      <w:pPr>
        <w:pStyle w:val="Pa21"/>
        <w:numPr>
          <w:ilvl w:val="0"/>
          <w:numId w:val="2"/>
        </w:numPr>
        <w:spacing w:after="100"/>
        <w:jc w:val="both"/>
        <w:rPr>
          <w:rFonts w:ascii="Times New Roman" w:hAnsi="Times New Roman" w:cs="Times New Roman"/>
          <w:color w:val="000000"/>
        </w:rPr>
      </w:pPr>
      <w:r w:rsidRPr="00A355D2">
        <w:rPr>
          <w:rFonts w:ascii="Times New Roman" w:hAnsi="Times New Roman" w:cs="Times New Roman"/>
          <w:b/>
          <w:bCs/>
          <w:color w:val="000000"/>
        </w:rPr>
        <w:t>New entrants targeting broad based presence</w:t>
      </w:r>
    </w:p>
    <w:p w:rsidR="00A355D2" w:rsidRPr="00A355D2" w:rsidRDefault="00A355D2" w:rsidP="00BC68BD">
      <w:pPr>
        <w:pStyle w:val="Pa11"/>
        <w:spacing w:after="160"/>
        <w:ind w:firstLine="360"/>
        <w:jc w:val="both"/>
        <w:rPr>
          <w:rFonts w:ascii="Times New Roman" w:hAnsi="Times New Roman" w:cs="Times New Roman"/>
          <w:color w:val="000000"/>
        </w:rPr>
      </w:pPr>
      <w:r w:rsidRPr="00A355D2">
        <w:rPr>
          <w:rFonts w:ascii="Times New Roman" w:hAnsi="Times New Roman" w:cs="Times New Roman"/>
          <w:color w:val="000000"/>
        </w:rPr>
        <w:t>New entrants focusing on high growth across segments are likely to have low profitability in the initial years as their aim would mainly be on price or channel payout-based competition. These players may rapidly replicate the industry best practices since they would have limited legacy operating structures and assets. The same could enable profitability and growth for these players in the medium term.</w:t>
      </w:r>
    </w:p>
    <w:p w:rsidR="00A355D2" w:rsidRPr="00A355D2" w:rsidRDefault="00A355D2" w:rsidP="00BC68BD">
      <w:pPr>
        <w:pStyle w:val="Pa3"/>
        <w:numPr>
          <w:ilvl w:val="0"/>
          <w:numId w:val="2"/>
        </w:numPr>
        <w:spacing w:after="40"/>
        <w:jc w:val="both"/>
        <w:rPr>
          <w:rFonts w:ascii="Times New Roman" w:hAnsi="Times New Roman" w:cs="Times New Roman"/>
          <w:color w:val="000000"/>
        </w:rPr>
      </w:pPr>
      <w:r w:rsidRPr="00A355D2">
        <w:rPr>
          <w:rFonts w:ascii="Times New Roman" w:hAnsi="Times New Roman" w:cs="Times New Roman"/>
          <w:b/>
          <w:bCs/>
          <w:color w:val="000000"/>
        </w:rPr>
        <w:t>New entrants with niche focus</w:t>
      </w:r>
    </w:p>
    <w:p w:rsidR="00A355D2" w:rsidRPr="00A355D2" w:rsidRDefault="00A355D2" w:rsidP="00BC68BD">
      <w:pPr>
        <w:pStyle w:val="Pa11"/>
        <w:spacing w:after="160"/>
        <w:jc w:val="both"/>
        <w:rPr>
          <w:rFonts w:ascii="Times New Roman" w:hAnsi="Times New Roman" w:cs="Times New Roman"/>
          <w:color w:val="000000"/>
        </w:rPr>
      </w:pPr>
      <w:r w:rsidRPr="00A355D2">
        <w:rPr>
          <w:rFonts w:ascii="Times New Roman" w:hAnsi="Times New Roman" w:cs="Times New Roman"/>
          <w:color w:val="000000"/>
        </w:rPr>
        <w:t>New entrants who are currently focusing on niche product-market segments may bring the international best practices in products, managed care models, ancillary services such as wellness and disease management in the medium to long term. Product as well as operating model differentiation vis-a-vis multi-line players may help these players to develop a profitable growth model.</w:t>
      </w:r>
    </w:p>
    <w:p w:rsidR="00A355D2" w:rsidRPr="00A355D2" w:rsidRDefault="00A355D2" w:rsidP="00BC68BD">
      <w:pPr>
        <w:pStyle w:val="Pa3"/>
        <w:numPr>
          <w:ilvl w:val="0"/>
          <w:numId w:val="2"/>
        </w:numPr>
        <w:spacing w:after="40"/>
        <w:jc w:val="both"/>
        <w:rPr>
          <w:rFonts w:ascii="Times New Roman" w:hAnsi="Times New Roman" w:cs="Times New Roman"/>
          <w:color w:val="000000"/>
        </w:rPr>
      </w:pPr>
      <w:r w:rsidRPr="00A355D2">
        <w:rPr>
          <w:rFonts w:ascii="Times New Roman" w:hAnsi="Times New Roman" w:cs="Times New Roman"/>
          <w:b/>
          <w:bCs/>
          <w:color w:val="000000"/>
        </w:rPr>
        <w:t>Large private sector players</w:t>
      </w:r>
    </w:p>
    <w:p w:rsidR="00A355D2" w:rsidRPr="00A355D2" w:rsidRDefault="00A355D2" w:rsidP="00BC68BD">
      <w:pPr>
        <w:pStyle w:val="Pa11"/>
        <w:spacing w:after="160"/>
        <w:jc w:val="both"/>
        <w:rPr>
          <w:rFonts w:ascii="Times New Roman" w:hAnsi="Times New Roman" w:cs="Times New Roman"/>
          <w:color w:val="000000"/>
        </w:rPr>
      </w:pPr>
      <w:r w:rsidRPr="00A355D2">
        <w:rPr>
          <w:rFonts w:ascii="Times New Roman" w:hAnsi="Times New Roman" w:cs="Times New Roman"/>
          <w:color w:val="000000"/>
        </w:rPr>
        <w:t>Large private sector players pose the biggest threat to public sector insurance companies due to more efficient operating models, highly capable talent pool, and significantly higher usage of IT at a scale comparable to the public sector insurers. These players would drive the focus on operational effectiveness, channel productivity, enhanced pricing approaches in order to derive profitable growth.</w:t>
      </w:r>
    </w:p>
    <w:p w:rsidR="00A355D2" w:rsidRPr="00A355D2" w:rsidRDefault="00A355D2" w:rsidP="00BC68BD">
      <w:pPr>
        <w:pStyle w:val="Pa3"/>
        <w:numPr>
          <w:ilvl w:val="0"/>
          <w:numId w:val="2"/>
        </w:numPr>
        <w:spacing w:after="40"/>
        <w:jc w:val="both"/>
        <w:rPr>
          <w:rFonts w:ascii="Times New Roman" w:hAnsi="Times New Roman" w:cs="Times New Roman"/>
          <w:color w:val="000000"/>
        </w:rPr>
      </w:pPr>
      <w:r w:rsidRPr="00A355D2">
        <w:rPr>
          <w:rFonts w:ascii="Times New Roman" w:hAnsi="Times New Roman" w:cs="Times New Roman"/>
          <w:b/>
          <w:bCs/>
          <w:color w:val="000000"/>
        </w:rPr>
        <w:t>Mid-sized private sector players</w:t>
      </w:r>
    </w:p>
    <w:p w:rsidR="00A355D2" w:rsidRPr="00A355D2" w:rsidRDefault="00A355D2" w:rsidP="00BC68BD">
      <w:pPr>
        <w:pStyle w:val="Pa11"/>
        <w:spacing w:after="160"/>
        <w:jc w:val="both"/>
        <w:rPr>
          <w:rFonts w:ascii="Times New Roman" w:hAnsi="Times New Roman" w:cs="Times New Roman"/>
          <w:color w:val="000000"/>
        </w:rPr>
      </w:pPr>
      <w:r w:rsidRPr="00A355D2">
        <w:rPr>
          <w:rFonts w:ascii="Times New Roman" w:hAnsi="Times New Roman" w:cs="Times New Roman"/>
          <w:color w:val="000000"/>
        </w:rPr>
        <w:t>Mid-sized private sector companies would need to select the areas of focus in terms of products and markets for pursuing long term growth. These players may actively seek inorganic routes in order to rapidly gain scale and leverage synergies to create competitive pressure.</w:t>
      </w:r>
    </w:p>
    <w:p w:rsidR="00A355D2" w:rsidRPr="00A355D2" w:rsidRDefault="00A355D2" w:rsidP="00BC68BD">
      <w:pPr>
        <w:pStyle w:val="Pa3"/>
        <w:numPr>
          <w:ilvl w:val="0"/>
          <w:numId w:val="2"/>
        </w:numPr>
        <w:spacing w:after="40"/>
        <w:jc w:val="both"/>
        <w:rPr>
          <w:rFonts w:ascii="Times New Roman" w:hAnsi="Times New Roman" w:cs="Times New Roman"/>
          <w:color w:val="000000"/>
        </w:rPr>
      </w:pPr>
      <w:r w:rsidRPr="00A355D2">
        <w:rPr>
          <w:rFonts w:ascii="Times New Roman" w:hAnsi="Times New Roman" w:cs="Times New Roman"/>
          <w:b/>
          <w:bCs/>
          <w:color w:val="000000"/>
        </w:rPr>
        <w:t>Public sector companies</w:t>
      </w:r>
    </w:p>
    <w:p w:rsidR="00A355D2" w:rsidRPr="00A355D2" w:rsidRDefault="00A355D2" w:rsidP="00BC68BD">
      <w:pPr>
        <w:autoSpaceDE w:val="0"/>
        <w:autoSpaceDN w:val="0"/>
        <w:adjustRightInd w:val="0"/>
        <w:spacing w:line="240" w:lineRule="auto"/>
        <w:ind w:left="0"/>
        <w:jc w:val="both"/>
        <w:rPr>
          <w:rFonts w:ascii="Times New Roman" w:hAnsi="Times New Roman" w:cs="Times New Roman"/>
          <w:color w:val="000000"/>
          <w:sz w:val="24"/>
          <w:szCs w:val="24"/>
        </w:rPr>
      </w:pPr>
      <w:r w:rsidRPr="00A355D2">
        <w:rPr>
          <w:rFonts w:ascii="Times New Roman" w:hAnsi="Times New Roman" w:cs="Times New Roman"/>
          <w:color w:val="000000"/>
          <w:sz w:val="24"/>
          <w:szCs w:val="24"/>
        </w:rPr>
        <w:t>Public sector general insurance companies enjoy key advantages as against competition in terms of balance sheet strength, physical infrastructure, reach, channel strength and experience. Transformational initiatives addressing the HR challenges, IT capabilities, operational effectiveness, and enhanced pricing approaches may lead to substantial growth and profitability benefits.</w:t>
      </w:r>
    </w:p>
    <w:p w:rsidR="00A355D2" w:rsidRPr="00A355D2" w:rsidRDefault="00A355D2" w:rsidP="00BC68BD">
      <w:pPr>
        <w:autoSpaceDE w:val="0"/>
        <w:autoSpaceDN w:val="0"/>
        <w:adjustRightInd w:val="0"/>
        <w:spacing w:line="240" w:lineRule="auto"/>
        <w:ind w:left="0"/>
        <w:jc w:val="both"/>
        <w:rPr>
          <w:rFonts w:ascii="Times New Roman" w:hAnsi="Times New Roman" w:cs="Times New Roman"/>
          <w:color w:val="000000"/>
          <w:sz w:val="24"/>
          <w:szCs w:val="24"/>
        </w:rPr>
      </w:pPr>
    </w:p>
    <w:p w:rsidR="00A355D2" w:rsidRDefault="00A355D2" w:rsidP="00BC68BD">
      <w:pPr>
        <w:autoSpaceDE w:val="0"/>
        <w:autoSpaceDN w:val="0"/>
        <w:adjustRightInd w:val="0"/>
        <w:spacing w:line="240" w:lineRule="auto"/>
        <w:ind w:left="0"/>
        <w:jc w:val="both"/>
        <w:rPr>
          <w:rFonts w:cs="Univers LT Std 45 Light"/>
          <w:color w:val="000000"/>
          <w:sz w:val="19"/>
          <w:szCs w:val="19"/>
        </w:rPr>
      </w:pPr>
    </w:p>
    <w:p w:rsidR="00A355D2" w:rsidRDefault="00A355D2" w:rsidP="00BC68BD">
      <w:pPr>
        <w:autoSpaceDE w:val="0"/>
        <w:autoSpaceDN w:val="0"/>
        <w:adjustRightInd w:val="0"/>
        <w:spacing w:line="240" w:lineRule="auto"/>
        <w:ind w:left="0"/>
        <w:jc w:val="both"/>
        <w:rPr>
          <w:rFonts w:ascii="Times New Roman" w:hAnsi="Times New Roman" w:cs="Times New Roman"/>
          <w:sz w:val="24"/>
          <w:szCs w:val="24"/>
        </w:rPr>
      </w:pPr>
    </w:p>
    <w:p w:rsidR="002A07F7" w:rsidRPr="00A355D2" w:rsidRDefault="002A07F7" w:rsidP="00BC68BD">
      <w:pPr>
        <w:autoSpaceDE w:val="0"/>
        <w:autoSpaceDN w:val="0"/>
        <w:adjustRightInd w:val="0"/>
        <w:spacing w:line="240" w:lineRule="auto"/>
        <w:ind w:left="0"/>
        <w:jc w:val="both"/>
        <w:rPr>
          <w:rFonts w:ascii="Times New Roman" w:hAnsi="Times New Roman" w:cs="Times New Roman"/>
          <w:b/>
          <w:sz w:val="24"/>
          <w:szCs w:val="24"/>
        </w:rPr>
      </w:pPr>
      <w:r w:rsidRPr="00A355D2">
        <w:rPr>
          <w:rFonts w:ascii="Times New Roman" w:hAnsi="Times New Roman" w:cs="Times New Roman"/>
          <w:b/>
          <w:sz w:val="24"/>
          <w:szCs w:val="24"/>
        </w:rPr>
        <w:t>KEY EMERGING TRENDS IN INSURANCE CHANNELS</w:t>
      </w:r>
    </w:p>
    <w:p w:rsidR="0039257F" w:rsidRDefault="0039257F" w:rsidP="00BC68BD">
      <w:pPr>
        <w:autoSpaceDE w:val="0"/>
        <w:autoSpaceDN w:val="0"/>
        <w:adjustRightInd w:val="0"/>
        <w:spacing w:line="240" w:lineRule="auto"/>
        <w:ind w:left="0"/>
        <w:jc w:val="both"/>
        <w:rPr>
          <w:rFonts w:ascii="Times New Roman" w:hAnsi="Times New Roman" w:cs="Times New Roman"/>
          <w:sz w:val="24"/>
          <w:szCs w:val="24"/>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r w:rsidRPr="000D7A93">
        <w:rPr>
          <w:rFonts w:ascii="Times New Roman" w:hAnsi="Times New Roman" w:cs="Times New Roman"/>
          <w:sz w:val="24"/>
          <w:szCs w:val="24"/>
        </w:rPr>
        <w:t>Customers are also using multiple channels for buying insurance products. While</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online channels are gaining prominence—though somewhat less than initial</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industry expectations—in many markets, customers still tend to approach agents</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when looking for life insurance policies. A common trend witnessed across regions</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is that customers now search for information on insurance products online before</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approaching their agents or insurers. Customers are also leveraging social media</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platforms to obtain product feedback from others. As such, insurers are now</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striving to provide a consistent consumer experience across all of these channels.</w:t>
      </w:r>
      <w:r w:rsidR="00F34C70">
        <w:rPr>
          <w:rFonts w:ascii="Times New Roman" w:hAnsi="Times New Roman" w:cs="Times New Roman"/>
          <w:sz w:val="24"/>
          <w:szCs w:val="24"/>
        </w:rPr>
        <w:t xml:space="preserve"> </w:t>
      </w:r>
      <w:r w:rsidRPr="000D7A93">
        <w:rPr>
          <w:rFonts w:ascii="Times New Roman" w:hAnsi="Times New Roman" w:cs="Times New Roman"/>
          <w:sz w:val="24"/>
          <w:szCs w:val="24"/>
        </w:rPr>
        <w:t>Increased competition and noticeable changes in customer behavior and preferences</w:t>
      </w:r>
      <w:r w:rsidR="00432951">
        <w:rPr>
          <w:rFonts w:ascii="Times New Roman" w:hAnsi="Times New Roman" w:cs="Times New Roman"/>
          <w:sz w:val="24"/>
          <w:szCs w:val="24"/>
        </w:rPr>
        <w:t xml:space="preserve"> </w:t>
      </w:r>
      <w:r w:rsidRPr="000D7A93">
        <w:rPr>
          <w:rFonts w:ascii="Times New Roman" w:hAnsi="Times New Roman" w:cs="Times New Roman"/>
          <w:sz w:val="24"/>
          <w:szCs w:val="24"/>
        </w:rPr>
        <w:t xml:space="preserve">paved the way for the growth of newer channels for policy sales. </w:t>
      </w:r>
      <w:r w:rsidRPr="000D7A93">
        <w:rPr>
          <w:rFonts w:ascii="Times New Roman" w:hAnsi="Times New Roman" w:cs="Times New Roman"/>
          <w:sz w:val="24"/>
          <w:szCs w:val="24"/>
        </w:rPr>
        <w:lastRenderedPageBreak/>
        <w:t>Many of these</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channels evolved as a result of insurers’ efforts to improve their operational</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efficiencies, aided by technological advancements. These channels now help</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insurers directly reach their target customers, bypassing traditional intermediary</w:t>
      </w:r>
      <w:r w:rsidR="00432951">
        <w:rPr>
          <w:rFonts w:ascii="Times New Roman" w:hAnsi="Times New Roman" w:cs="Times New Roman"/>
          <w:sz w:val="24"/>
          <w:szCs w:val="24"/>
        </w:rPr>
        <w:t xml:space="preserve"> </w:t>
      </w:r>
      <w:r w:rsidRPr="000D7A93">
        <w:rPr>
          <w:rFonts w:ascii="Times New Roman" w:hAnsi="Times New Roman" w:cs="Times New Roman"/>
          <w:sz w:val="24"/>
          <w:szCs w:val="24"/>
        </w:rPr>
        <w:t>channels.</w:t>
      </w: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r w:rsidRPr="000D7A93">
        <w:rPr>
          <w:rFonts w:ascii="Times New Roman" w:hAnsi="Times New Roman" w:cs="Times New Roman"/>
          <w:sz w:val="24"/>
          <w:szCs w:val="24"/>
        </w:rPr>
        <w:t>With these new developments, customers’ methods of researching and buying</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insurance products also changed over time. With the increased penetration of the</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internet and smart</w:t>
      </w:r>
      <w:r w:rsidR="00432951">
        <w:rPr>
          <w:rFonts w:ascii="Times New Roman" w:hAnsi="Times New Roman" w:cs="Times New Roman"/>
          <w:sz w:val="24"/>
          <w:szCs w:val="24"/>
        </w:rPr>
        <w:t xml:space="preserve"> </w:t>
      </w:r>
      <w:r w:rsidRPr="000D7A93">
        <w:rPr>
          <w:rFonts w:ascii="Times New Roman" w:hAnsi="Times New Roman" w:cs="Times New Roman"/>
          <w:sz w:val="24"/>
          <w:szCs w:val="24"/>
        </w:rPr>
        <w:t>phones, customers now prefer to gather information on various</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products and services offered by multiple insurers and tend to compare before</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making a final decision. The internet has developed into an important channel to</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gather information on insurance products, and the increased popularity of social</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media is also expected to affect how customers buy insurance products. Many</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customers now seek feedback on insurance products on social media sites and</w:t>
      </w:r>
      <w:r w:rsidR="000D7A93" w:rsidRPr="000D7A93">
        <w:rPr>
          <w:rFonts w:ascii="Times New Roman" w:hAnsi="Times New Roman" w:cs="Times New Roman"/>
          <w:sz w:val="24"/>
          <w:szCs w:val="24"/>
        </w:rPr>
        <w:t xml:space="preserve"> </w:t>
      </w:r>
      <w:r w:rsidRPr="000D7A93">
        <w:rPr>
          <w:rFonts w:ascii="Times New Roman" w:hAnsi="Times New Roman" w:cs="Times New Roman"/>
          <w:sz w:val="24"/>
          <w:szCs w:val="24"/>
        </w:rPr>
        <w:t>include the feedback in their decision-making process.</w:t>
      </w:r>
    </w:p>
    <w:p w:rsidR="0039257F" w:rsidRDefault="0039257F" w:rsidP="00BC68BD">
      <w:pPr>
        <w:autoSpaceDE w:val="0"/>
        <w:autoSpaceDN w:val="0"/>
        <w:adjustRightInd w:val="0"/>
        <w:spacing w:line="240" w:lineRule="auto"/>
        <w:ind w:left="0"/>
        <w:jc w:val="both"/>
        <w:rPr>
          <w:rFonts w:ascii="BerkeleyStd-Book" w:hAnsi="BerkeleyStd-Book" w:cs="BerkeleyStd-Book"/>
          <w:sz w:val="20"/>
          <w:szCs w:val="20"/>
        </w:rPr>
      </w:pPr>
    </w:p>
    <w:p w:rsidR="0039257F" w:rsidRDefault="0039257F" w:rsidP="00BC68BD">
      <w:pPr>
        <w:autoSpaceDE w:val="0"/>
        <w:autoSpaceDN w:val="0"/>
        <w:adjustRightInd w:val="0"/>
        <w:spacing w:line="240" w:lineRule="auto"/>
        <w:ind w:left="0"/>
        <w:jc w:val="both"/>
        <w:rPr>
          <w:rFonts w:ascii="HelveticaNeueLTStd-Bd" w:hAnsi="HelveticaNeueLTStd-Bd" w:cs="HelveticaNeueLTStd-Bd"/>
          <w:color w:val="00DFCA"/>
          <w:sz w:val="20"/>
          <w:szCs w:val="20"/>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b/>
          <w:color w:val="00DFCA"/>
          <w:sz w:val="24"/>
          <w:szCs w:val="24"/>
        </w:rPr>
      </w:pPr>
      <w:r w:rsidRPr="0039257F">
        <w:rPr>
          <w:rFonts w:ascii="HelveticaNeueLTStd-Bd" w:hAnsi="HelveticaNeueLTStd-Bd" w:cs="HelveticaNeueLTStd-Bd"/>
          <w:b/>
          <w:sz w:val="20"/>
          <w:szCs w:val="20"/>
        </w:rPr>
        <w:t>#</w:t>
      </w:r>
      <w:r w:rsidRPr="000D7A93">
        <w:rPr>
          <w:rFonts w:ascii="Times New Roman" w:hAnsi="Times New Roman" w:cs="Times New Roman"/>
          <w:b/>
          <w:sz w:val="24"/>
          <w:szCs w:val="24"/>
        </w:rPr>
        <w:t>1: Increase in Customers use of Internet to buy Insurance Products</w:t>
      </w:r>
      <w:r w:rsidRPr="000D7A93">
        <w:rPr>
          <w:rFonts w:ascii="Times New Roman" w:hAnsi="Times New Roman" w:cs="Times New Roman"/>
          <w:b/>
          <w:color w:val="00DFCA"/>
          <w:sz w:val="24"/>
          <w:szCs w:val="24"/>
        </w:rPr>
        <w:t>.</w:t>
      </w:r>
    </w:p>
    <w:p w:rsidR="0039257F" w:rsidRDefault="0039257F" w:rsidP="00BC68BD">
      <w:pPr>
        <w:autoSpaceDE w:val="0"/>
        <w:autoSpaceDN w:val="0"/>
        <w:adjustRightInd w:val="0"/>
        <w:spacing w:line="240" w:lineRule="auto"/>
        <w:ind w:left="0"/>
        <w:jc w:val="both"/>
        <w:rPr>
          <w:rFonts w:ascii="Times New Roman" w:hAnsi="Times New Roman" w:cs="Times New Roman"/>
          <w:sz w:val="24"/>
          <w:szCs w:val="24"/>
        </w:rPr>
      </w:pPr>
      <w:r w:rsidRPr="000D7A93">
        <w:rPr>
          <w:rFonts w:ascii="Times New Roman" w:hAnsi="Times New Roman" w:cs="Times New Roman"/>
          <w:sz w:val="24"/>
          <w:szCs w:val="24"/>
        </w:rPr>
        <w:t>Easy access to the internet via computers, mobiles, and other hand-held devices</w:t>
      </w:r>
      <w:r w:rsidR="00F91918">
        <w:rPr>
          <w:rFonts w:ascii="Times New Roman" w:hAnsi="Times New Roman" w:cs="Times New Roman"/>
          <w:sz w:val="24"/>
          <w:szCs w:val="24"/>
        </w:rPr>
        <w:t xml:space="preserve"> </w:t>
      </w:r>
      <w:r w:rsidRPr="000D7A93">
        <w:rPr>
          <w:rFonts w:ascii="Times New Roman" w:hAnsi="Times New Roman" w:cs="Times New Roman"/>
          <w:sz w:val="24"/>
          <w:szCs w:val="24"/>
        </w:rPr>
        <w:t>has made it a part of people’s everyday lives. Customers now use these devices to</w:t>
      </w:r>
      <w:r w:rsidR="00F91918">
        <w:rPr>
          <w:rFonts w:ascii="Times New Roman" w:hAnsi="Times New Roman" w:cs="Times New Roman"/>
          <w:sz w:val="24"/>
          <w:szCs w:val="24"/>
        </w:rPr>
        <w:t xml:space="preserve"> </w:t>
      </w:r>
      <w:r w:rsidRPr="000D7A93">
        <w:rPr>
          <w:rFonts w:ascii="Times New Roman" w:hAnsi="Times New Roman" w:cs="Times New Roman"/>
          <w:sz w:val="24"/>
          <w:szCs w:val="24"/>
        </w:rPr>
        <w:t>easily obtain information and updates on insurance products and services—a trend</w:t>
      </w:r>
      <w:r w:rsidR="00F91918">
        <w:rPr>
          <w:rFonts w:ascii="Times New Roman" w:hAnsi="Times New Roman" w:cs="Times New Roman"/>
          <w:sz w:val="24"/>
          <w:szCs w:val="24"/>
        </w:rPr>
        <w:t xml:space="preserve"> </w:t>
      </w:r>
      <w:r w:rsidRPr="000D7A93">
        <w:rPr>
          <w:rFonts w:ascii="Times New Roman" w:hAnsi="Times New Roman" w:cs="Times New Roman"/>
          <w:sz w:val="24"/>
          <w:szCs w:val="24"/>
        </w:rPr>
        <w:t>that is expected to continue to grow in the near future. While penetration of these</w:t>
      </w:r>
      <w:r w:rsidR="00F91918">
        <w:rPr>
          <w:rFonts w:ascii="Times New Roman" w:hAnsi="Times New Roman" w:cs="Times New Roman"/>
          <w:sz w:val="24"/>
          <w:szCs w:val="24"/>
        </w:rPr>
        <w:t xml:space="preserve"> </w:t>
      </w:r>
      <w:r w:rsidRPr="000D7A93">
        <w:rPr>
          <w:rFonts w:ascii="Times New Roman" w:hAnsi="Times New Roman" w:cs="Times New Roman"/>
          <w:sz w:val="24"/>
          <w:szCs w:val="24"/>
        </w:rPr>
        <w:t>devices is higher in the developed western economies, it is rising at a rapid pace in</w:t>
      </w:r>
      <w:r w:rsidR="00F91918">
        <w:rPr>
          <w:rFonts w:ascii="Times New Roman" w:hAnsi="Times New Roman" w:cs="Times New Roman"/>
          <w:sz w:val="24"/>
          <w:szCs w:val="24"/>
        </w:rPr>
        <w:t xml:space="preserve"> </w:t>
      </w:r>
      <w:r w:rsidRPr="000D7A93">
        <w:rPr>
          <w:rFonts w:ascii="Times New Roman" w:hAnsi="Times New Roman" w:cs="Times New Roman"/>
          <w:sz w:val="24"/>
          <w:szCs w:val="24"/>
        </w:rPr>
        <w:t>developing economies such as India and China.</w:t>
      </w:r>
    </w:p>
    <w:p w:rsidR="00196478" w:rsidRDefault="00196478" w:rsidP="00BC68BD">
      <w:pPr>
        <w:autoSpaceDE w:val="0"/>
        <w:autoSpaceDN w:val="0"/>
        <w:adjustRightInd w:val="0"/>
        <w:spacing w:line="240" w:lineRule="auto"/>
        <w:ind w:left="0"/>
        <w:jc w:val="both"/>
        <w:rPr>
          <w:rFonts w:ascii="Times New Roman" w:hAnsi="Times New Roman" w:cs="Times New Roman"/>
          <w:sz w:val="24"/>
          <w:szCs w:val="24"/>
        </w:rPr>
      </w:pPr>
    </w:p>
    <w:p w:rsidR="00196478" w:rsidRPr="00196478" w:rsidRDefault="00196478" w:rsidP="00BC68BD">
      <w:pPr>
        <w:autoSpaceDE w:val="0"/>
        <w:autoSpaceDN w:val="0"/>
        <w:adjustRightInd w:val="0"/>
        <w:spacing w:line="240" w:lineRule="auto"/>
        <w:ind w:left="0"/>
        <w:jc w:val="both"/>
        <w:rPr>
          <w:rFonts w:ascii="Times New Roman" w:hAnsi="Times New Roman" w:cs="Times New Roman"/>
          <w:sz w:val="24"/>
          <w:szCs w:val="24"/>
        </w:rPr>
      </w:pPr>
      <w:r w:rsidRPr="00196478">
        <w:rPr>
          <w:rFonts w:ascii="Times New Roman" w:hAnsi="Times New Roman" w:cs="Times New Roman"/>
          <w:sz w:val="24"/>
          <w:szCs w:val="24"/>
        </w:rPr>
        <w:t>With the rise in penetration of the internet, there has been a gradual change in</w:t>
      </w:r>
      <w:r>
        <w:rPr>
          <w:rFonts w:ascii="Times New Roman" w:hAnsi="Times New Roman" w:cs="Times New Roman"/>
          <w:sz w:val="24"/>
          <w:szCs w:val="24"/>
        </w:rPr>
        <w:t xml:space="preserve"> </w:t>
      </w:r>
      <w:r w:rsidRPr="00196478">
        <w:rPr>
          <w:rFonts w:ascii="Times New Roman" w:hAnsi="Times New Roman" w:cs="Times New Roman"/>
          <w:sz w:val="24"/>
          <w:szCs w:val="24"/>
        </w:rPr>
        <w:t>customer preferences around buying insurance products. This change has been</w:t>
      </w:r>
      <w:r>
        <w:rPr>
          <w:rFonts w:ascii="Times New Roman" w:hAnsi="Times New Roman" w:cs="Times New Roman"/>
          <w:sz w:val="24"/>
          <w:szCs w:val="24"/>
        </w:rPr>
        <w:t xml:space="preserve"> </w:t>
      </w:r>
      <w:r w:rsidRPr="00196478">
        <w:rPr>
          <w:rFonts w:ascii="Times New Roman" w:hAnsi="Times New Roman" w:cs="Times New Roman"/>
          <w:sz w:val="24"/>
          <w:szCs w:val="24"/>
        </w:rPr>
        <w:t>both behavioral and attitudinal in nature, and is more prominent among younger</w:t>
      </w:r>
      <w:r>
        <w:rPr>
          <w:rFonts w:ascii="Times New Roman" w:hAnsi="Times New Roman" w:cs="Times New Roman"/>
          <w:sz w:val="24"/>
          <w:szCs w:val="24"/>
        </w:rPr>
        <w:t xml:space="preserve"> </w:t>
      </w:r>
      <w:r w:rsidRPr="00196478">
        <w:rPr>
          <w:rFonts w:ascii="Times New Roman" w:hAnsi="Times New Roman" w:cs="Times New Roman"/>
          <w:sz w:val="24"/>
          <w:szCs w:val="24"/>
        </w:rPr>
        <w:t>customers. Customers currently use the internet primarily to research and compare</w:t>
      </w:r>
      <w:r w:rsidR="009D7B87">
        <w:rPr>
          <w:rFonts w:ascii="Times New Roman" w:hAnsi="Times New Roman" w:cs="Times New Roman"/>
          <w:sz w:val="24"/>
          <w:szCs w:val="24"/>
        </w:rPr>
        <w:t xml:space="preserve"> </w:t>
      </w:r>
      <w:r w:rsidRPr="00196478">
        <w:rPr>
          <w:rFonts w:ascii="Times New Roman" w:hAnsi="Times New Roman" w:cs="Times New Roman"/>
          <w:sz w:val="24"/>
          <w:szCs w:val="24"/>
        </w:rPr>
        <w:t>various policies, view policy details, make policy changes, pay premium bills, and</w:t>
      </w:r>
      <w:r>
        <w:rPr>
          <w:rFonts w:ascii="Times New Roman" w:hAnsi="Times New Roman" w:cs="Times New Roman"/>
          <w:sz w:val="24"/>
          <w:szCs w:val="24"/>
        </w:rPr>
        <w:t xml:space="preserve"> </w:t>
      </w:r>
      <w:r w:rsidRPr="00196478">
        <w:rPr>
          <w:rFonts w:ascii="Times New Roman" w:hAnsi="Times New Roman" w:cs="Times New Roman"/>
          <w:sz w:val="24"/>
          <w:szCs w:val="24"/>
        </w:rPr>
        <w:t>contact agents/brokers. Most of their activities are focused towards interacting,</w:t>
      </w:r>
      <w:r>
        <w:rPr>
          <w:rFonts w:ascii="Times New Roman" w:hAnsi="Times New Roman" w:cs="Times New Roman"/>
          <w:sz w:val="24"/>
          <w:szCs w:val="24"/>
        </w:rPr>
        <w:t xml:space="preserve"> </w:t>
      </w:r>
      <w:r w:rsidRPr="00196478">
        <w:rPr>
          <w:rFonts w:ascii="Times New Roman" w:hAnsi="Times New Roman" w:cs="Times New Roman"/>
          <w:sz w:val="24"/>
          <w:szCs w:val="24"/>
        </w:rPr>
        <w:t>communicating, and transacting with insurance providers. Such behavior signifies</w:t>
      </w:r>
      <w:r>
        <w:rPr>
          <w:rFonts w:ascii="Times New Roman" w:hAnsi="Times New Roman" w:cs="Times New Roman"/>
          <w:sz w:val="24"/>
          <w:szCs w:val="24"/>
        </w:rPr>
        <w:t xml:space="preserve"> </w:t>
      </w:r>
      <w:r w:rsidRPr="00196478">
        <w:rPr>
          <w:rFonts w:ascii="Times New Roman" w:hAnsi="Times New Roman" w:cs="Times New Roman"/>
          <w:sz w:val="24"/>
          <w:szCs w:val="24"/>
        </w:rPr>
        <w:t>tremendous growth opportunities ahead for this channel as customer penetration</w:t>
      </w:r>
      <w:r w:rsidR="009D7B87">
        <w:rPr>
          <w:rFonts w:ascii="Times New Roman" w:hAnsi="Times New Roman" w:cs="Times New Roman"/>
          <w:sz w:val="24"/>
          <w:szCs w:val="24"/>
        </w:rPr>
        <w:t xml:space="preserve"> </w:t>
      </w:r>
      <w:r w:rsidRPr="00196478">
        <w:rPr>
          <w:rFonts w:ascii="Times New Roman" w:hAnsi="Times New Roman" w:cs="Times New Roman"/>
          <w:sz w:val="24"/>
          <w:szCs w:val="24"/>
        </w:rPr>
        <w:t>increases and as more insurance-related activities is carried out via this channel. The</w:t>
      </w:r>
      <w:r>
        <w:rPr>
          <w:rFonts w:ascii="Times New Roman" w:hAnsi="Times New Roman" w:cs="Times New Roman"/>
          <w:sz w:val="24"/>
          <w:szCs w:val="24"/>
        </w:rPr>
        <w:t xml:space="preserve"> </w:t>
      </w:r>
      <w:r w:rsidRPr="00196478">
        <w:rPr>
          <w:rFonts w:ascii="Times New Roman" w:hAnsi="Times New Roman" w:cs="Times New Roman"/>
          <w:sz w:val="24"/>
          <w:szCs w:val="24"/>
        </w:rPr>
        <w:t>internet also helps insurers provide a robust self-service portal for its customers,</w:t>
      </w:r>
      <w:r>
        <w:rPr>
          <w:rFonts w:ascii="Times New Roman" w:hAnsi="Times New Roman" w:cs="Times New Roman"/>
          <w:sz w:val="24"/>
          <w:szCs w:val="24"/>
        </w:rPr>
        <w:t xml:space="preserve"> </w:t>
      </w:r>
      <w:r w:rsidRPr="00196478">
        <w:rPr>
          <w:rFonts w:ascii="Times New Roman" w:hAnsi="Times New Roman" w:cs="Times New Roman"/>
          <w:sz w:val="24"/>
          <w:szCs w:val="24"/>
        </w:rPr>
        <w:t>which serves the dual purpose of increasing customer satisfaction while reducing</w:t>
      </w:r>
      <w:r>
        <w:rPr>
          <w:rFonts w:ascii="Times New Roman" w:hAnsi="Times New Roman" w:cs="Times New Roman"/>
          <w:sz w:val="24"/>
          <w:szCs w:val="24"/>
        </w:rPr>
        <w:t xml:space="preserve"> </w:t>
      </w:r>
      <w:r w:rsidRPr="00196478">
        <w:rPr>
          <w:rFonts w:ascii="Times New Roman" w:hAnsi="Times New Roman" w:cs="Times New Roman"/>
          <w:sz w:val="24"/>
          <w:szCs w:val="24"/>
        </w:rPr>
        <w:t>operational workload.</w:t>
      </w:r>
    </w:p>
    <w:p w:rsidR="00196478" w:rsidRDefault="00196478" w:rsidP="00BC68BD">
      <w:pPr>
        <w:autoSpaceDE w:val="0"/>
        <w:autoSpaceDN w:val="0"/>
        <w:adjustRightInd w:val="0"/>
        <w:spacing w:line="240" w:lineRule="auto"/>
        <w:ind w:left="0"/>
        <w:jc w:val="both"/>
        <w:rPr>
          <w:rFonts w:ascii="Times New Roman" w:hAnsi="Times New Roman" w:cs="Times New Roman"/>
          <w:sz w:val="24"/>
          <w:szCs w:val="24"/>
        </w:rPr>
      </w:pPr>
      <w:r w:rsidRPr="00196478">
        <w:rPr>
          <w:rFonts w:ascii="Times New Roman" w:hAnsi="Times New Roman" w:cs="Times New Roman"/>
          <w:sz w:val="24"/>
          <w:szCs w:val="24"/>
        </w:rPr>
        <w:t>However, trends in internet usage vary across life and non-life insurance products.</w:t>
      </w:r>
      <w:r w:rsidR="00432951">
        <w:rPr>
          <w:rFonts w:ascii="Times New Roman" w:hAnsi="Times New Roman" w:cs="Times New Roman"/>
          <w:sz w:val="24"/>
          <w:szCs w:val="24"/>
        </w:rPr>
        <w:t xml:space="preserve"> </w:t>
      </w:r>
      <w:r w:rsidRPr="00196478">
        <w:rPr>
          <w:rFonts w:ascii="Times New Roman" w:hAnsi="Times New Roman" w:cs="Times New Roman"/>
          <w:sz w:val="24"/>
          <w:szCs w:val="24"/>
        </w:rPr>
        <w:t>While customers still value agents’ advice when buying life insurance products, they</w:t>
      </w:r>
      <w:r>
        <w:rPr>
          <w:rFonts w:ascii="Times New Roman" w:hAnsi="Times New Roman" w:cs="Times New Roman"/>
          <w:sz w:val="24"/>
          <w:szCs w:val="24"/>
        </w:rPr>
        <w:t xml:space="preserve"> </w:t>
      </w:r>
      <w:r w:rsidRPr="00196478">
        <w:rPr>
          <w:rFonts w:ascii="Times New Roman" w:hAnsi="Times New Roman" w:cs="Times New Roman"/>
          <w:sz w:val="24"/>
          <w:szCs w:val="24"/>
        </w:rPr>
        <w:t>are increasingly using online channels to buy non-life products. Market segments</w:t>
      </w:r>
      <w:r>
        <w:rPr>
          <w:rFonts w:ascii="Times New Roman" w:hAnsi="Times New Roman" w:cs="Times New Roman"/>
          <w:sz w:val="24"/>
          <w:szCs w:val="24"/>
        </w:rPr>
        <w:t xml:space="preserve"> </w:t>
      </w:r>
      <w:r w:rsidRPr="00196478">
        <w:rPr>
          <w:rFonts w:ascii="Times New Roman" w:hAnsi="Times New Roman" w:cs="Times New Roman"/>
          <w:sz w:val="24"/>
          <w:szCs w:val="24"/>
        </w:rPr>
        <w:t>like motor and home insurance have become commoditized and require less</w:t>
      </w:r>
      <w:r w:rsidR="00F34C70">
        <w:rPr>
          <w:rFonts w:ascii="Times New Roman" w:hAnsi="Times New Roman" w:cs="Times New Roman"/>
          <w:sz w:val="24"/>
          <w:szCs w:val="24"/>
        </w:rPr>
        <w:t xml:space="preserve"> </w:t>
      </w:r>
      <w:r w:rsidRPr="00196478">
        <w:rPr>
          <w:rFonts w:ascii="Times New Roman" w:hAnsi="Times New Roman" w:cs="Times New Roman"/>
          <w:sz w:val="24"/>
          <w:szCs w:val="24"/>
        </w:rPr>
        <w:t>advice when buying these products, making them more suitable to be sold over the</w:t>
      </w:r>
      <w:r>
        <w:rPr>
          <w:rFonts w:ascii="Times New Roman" w:hAnsi="Times New Roman" w:cs="Times New Roman"/>
          <w:sz w:val="24"/>
          <w:szCs w:val="24"/>
        </w:rPr>
        <w:t xml:space="preserve"> </w:t>
      </w:r>
      <w:r w:rsidRPr="00196478">
        <w:rPr>
          <w:rFonts w:ascii="Times New Roman" w:hAnsi="Times New Roman" w:cs="Times New Roman"/>
          <w:sz w:val="24"/>
          <w:szCs w:val="24"/>
        </w:rPr>
        <w:t>internet. While sales via online channels have been slower than initial expectations,</w:t>
      </w:r>
      <w:r>
        <w:rPr>
          <w:rFonts w:ascii="Times New Roman" w:hAnsi="Times New Roman" w:cs="Times New Roman"/>
          <w:sz w:val="24"/>
          <w:szCs w:val="24"/>
        </w:rPr>
        <w:t xml:space="preserve"> </w:t>
      </w:r>
      <w:r w:rsidRPr="00196478">
        <w:rPr>
          <w:rFonts w:ascii="Times New Roman" w:hAnsi="Times New Roman" w:cs="Times New Roman"/>
          <w:sz w:val="24"/>
          <w:szCs w:val="24"/>
        </w:rPr>
        <w:t>they are still expected to continue growing in the future</w:t>
      </w:r>
    </w:p>
    <w:p w:rsidR="00196478" w:rsidRPr="00196478" w:rsidRDefault="00196478" w:rsidP="00BC68BD">
      <w:pPr>
        <w:autoSpaceDE w:val="0"/>
        <w:autoSpaceDN w:val="0"/>
        <w:adjustRightInd w:val="0"/>
        <w:spacing w:line="240" w:lineRule="auto"/>
        <w:ind w:left="0"/>
        <w:jc w:val="both"/>
        <w:rPr>
          <w:rFonts w:ascii="Times New Roman" w:hAnsi="Times New Roman" w:cs="Times New Roman"/>
          <w:sz w:val="24"/>
          <w:szCs w:val="24"/>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b/>
          <w:sz w:val="24"/>
          <w:szCs w:val="24"/>
        </w:rPr>
      </w:pPr>
      <w:r w:rsidRPr="000D7A93">
        <w:rPr>
          <w:rFonts w:ascii="Times New Roman" w:hAnsi="Times New Roman" w:cs="Times New Roman"/>
          <w:b/>
          <w:sz w:val="24"/>
          <w:szCs w:val="24"/>
        </w:rPr>
        <w:t>#2 Rise in the use of Social Media as a Distribution channel</w:t>
      </w: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r w:rsidRPr="000D7A93">
        <w:rPr>
          <w:rFonts w:ascii="Times New Roman" w:hAnsi="Times New Roman" w:cs="Times New Roman"/>
          <w:sz w:val="24"/>
          <w:szCs w:val="24"/>
        </w:rPr>
        <w:t xml:space="preserve">Social media platforms such as </w:t>
      </w:r>
      <w:r w:rsidR="0006434C" w:rsidRPr="000D7A93">
        <w:rPr>
          <w:rFonts w:ascii="Times New Roman" w:hAnsi="Times New Roman" w:cs="Times New Roman"/>
          <w:sz w:val="24"/>
          <w:szCs w:val="24"/>
        </w:rPr>
        <w:t>Face book</w:t>
      </w:r>
      <w:r w:rsidRPr="000D7A93">
        <w:rPr>
          <w:rFonts w:ascii="Times New Roman" w:hAnsi="Times New Roman" w:cs="Times New Roman"/>
          <w:sz w:val="24"/>
          <w:szCs w:val="24"/>
        </w:rPr>
        <w:t>, LinkedIn, and Twitter have witnessed</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rapid growth over the last few years. Many of these platforms have matured, and</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feature embedded functionalities that better help businesses to reach out and interact</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with their target audience base. At the same time, many other new social media</w:t>
      </w:r>
      <w:r w:rsidR="00F34C70">
        <w:rPr>
          <w:rFonts w:ascii="Times New Roman" w:hAnsi="Times New Roman" w:cs="Times New Roman"/>
          <w:sz w:val="24"/>
          <w:szCs w:val="24"/>
        </w:rPr>
        <w:t xml:space="preserve"> </w:t>
      </w:r>
      <w:r w:rsidR="0006434C" w:rsidRPr="000D7A93">
        <w:rPr>
          <w:rFonts w:ascii="Times New Roman" w:hAnsi="Times New Roman" w:cs="Times New Roman"/>
          <w:sz w:val="24"/>
          <w:szCs w:val="24"/>
        </w:rPr>
        <w:t>Platforms</w:t>
      </w:r>
      <w:r w:rsidRPr="000D7A93">
        <w:rPr>
          <w:rFonts w:ascii="Times New Roman" w:hAnsi="Times New Roman" w:cs="Times New Roman"/>
          <w:sz w:val="24"/>
          <w:szCs w:val="24"/>
        </w:rPr>
        <w:t xml:space="preserve">, such as Google+, are also trying to establish themselves in the </w:t>
      </w:r>
      <w:r w:rsidR="00F34C70">
        <w:rPr>
          <w:rFonts w:ascii="Times New Roman" w:hAnsi="Times New Roman" w:cs="Times New Roman"/>
          <w:sz w:val="24"/>
          <w:szCs w:val="24"/>
        </w:rPr>
        <w:t>m</w:t>
      </w:r>
      <w:r w:rsidRPr="000D7A93">
        <w:rPr>
          <w:rFonts w:ascii="Times New Roman" w:hAnsi="Times New Roman" w:cs="Times New Roman"/>
          <w:sz w:val="24"/>
          <w:szCs w:val="24"/>
        </w:rPr>
        <w:t>arketplace.</w:t>
      </w: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p>
    <w:p w:rsidR="0039257F" w:rsidRPr="000D7A93" w:rsidRDefault="0039257F" w:rsidP="00BC68BD">
      <w:pPr>
        <w:autoSpaceDE w:val="0"/>
        <w:autoSpaceDN w:val="0"/>
        <w:adjustRightInd w:val="0"/>
        <w:spacing w:line="240" w:lineRule="auto"/>
        <w:ind w:left="0"/>
        <w:jc w:val="both"/>
        <w:rPr>
          <w:rFonts w:ascii="Times New Roman" w:hAnsi="Times New Roman" w:cs="Times New Roman"/>
          <w:sz w:val="24"/>
          <w:szCs w:val="24"/>
        </w:rPr>
      </w:pPr>
      <w:r w:rsidRPr="000D7A93">
        <w:rPr>
          <w:rFonts w:ascii="Times New Roman" w:hAnsi="Times New Roman" w:cs="Times New Roman"/>
          <w:sz w:val="24"/>
          <w:szCs w:val="24"/>
        </w:rPr>
        <w:t>The initial focus of insurers’ social media strategies has been aimed at low-level</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communication and marketing of new products and services. While many insurers</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now relate social media to a mass marketing tool, there are many other applications</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 xml:space="preserve">as well including: gaining customer feedback; </w:t>
      </w:r>
      <w:r w:rsidRPr="000D7A93">
        <w:rPr>
          <w:rFonts w:ascii="Times New Roman" w:hAnsi="Times New Roman" w:cs="Times New Roman"/>
          <w:sz w:val="24"/>
          <w:szCs w:val="24"/>
        </w:rPr>
        <w:lastRenderedPageBreak/>
        <w:t>resolving queries in real-time;</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providing product updates; and as an information source for insight generation and</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fraud investigation. Social media platforms along with the online channels can also</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help remove geographical limitations that agents face when serving their clients.</w:t>
      </w:r>
    </w:p>
    <w:p w:rsidR="00577521" w:rsidRPr="000D7A93" w:rsidRDefault="00577521" w:rsidP="00BC68BD">
      <w:pPr>
        <w:autoSpaceDE w:val="0"/>
        <w:autoSpaceDN w:val="0"/>
        <w:adjustRightInd w:val="0"/>
        <w:spacing w:line="240" w:lineRule="auto"/>
        <w:ind w:left="0"/>
        <w:jc w:val="both"/>
        <w:rPr>
          <w:rFonts w:ascii="Times New Roman" w:hAnsi="Times New Roman" w:cs="Times New Roman"/>
          <w:sz w:val="24"/>
          <w:szCs w:val="24"/>
        </w:rPr>
      </w:pPr>
    </w:p>
    <w:p w:rsidR="00577521" w:rsidRDefault="00577521" w:rsidP="00BC68BD">
      <w:pPr>
        <w:autoSpaceDE w:val="0"/>
        <w:autoSpaceDN w:val="0"/>
        <w:adjustRightInd w:val="0"/>
        <w:spacing w:line="240" w:lineRule="auto"/>
        <w:ind w:left="0"/>
        <w:jc w:val="both"/>
        <w:rPr>
          <w:rFonts w:ascii="Times New Roman" w:hAnsi="Times New Roman" w:cs="Times New Roman"/>
          <w:sz w:val="24"/>
          <w:szCs w:val="24"/>
        </w:rPr>
      </w:pPr>
      <w:r w:rsidRPr="000D7A93">
        <w:rPr>
          <w:rFonts w:ascii="Times New Roman" w:hAnsi="Times New Roman" w:cs="Times New Roman"/>
          <w:sz w:val="24"/>
          <w:szCs w:val="24"/>
        </w:rPr>
        <w:t>As social networking sites continue to gain ground in the insurance industry,</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insurance companies will need to broaden their internet-based strategies to include</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social media platforms. They should help their agents understand the implications</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of this trend on their role as advisors and how to best leverage it. Social media</w:t>
      </w:r>
      <w:r w:rsidR="00F34C70">
        <w:rPr>
          <w:rFonts w:ascii="Times New Roman" w:hAnsi="Times New Roman" w:cs="Times New Roman"/>
          <w:sz w:val="24"/>
          <w:szCs w:val="24"/>
        </w:rPr>
        <w:t xml:space="preserve"> c</w:t>
      </w:r>
      <w:r w:rsidR="0006434C" w:rsidRPr="000D7A93">
        <w:rPr>
          <w:rFonts w:ascii="Times New Roman" w:hAnsi="Times New Roman" w:cs="Times New Roman"/>
          <w:sz w:val="24"/>
          <w:szCs w:val="24"/>
        </w:rPr>
        <w:t>hannels</w:t>
      </w:r>
      <w:r w:rsidRPr="000D7A93">
        <w:rPr>
          <w:rFonts w:ascii="Times New Roman" w:hAnsi="Times New Roman" w:cs="Times New Roman"/>
          <w:sz w:val="24"/>
          <w:szCs w:val="24"/>
        </w:rPr>
        <w:t xml:space="preserve"> can also be used to assess the needs of customers and the standard</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of services being offered. This can be done with the help of focus groups and</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discussion forums where customers interact with each other and also with company</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experts. The channel can also be used to launch media campaigns—including</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education and new product launches—targeting the customer segment that has an</w:t>
      </w:r>
      <w:r w:rsidR="000D7A93">
        <w:rPr>
          <w:rFonts w:ascii="Times New Roman" w:hAnsi="Times New Roman" w:cs="Times New Roman"/>
          <w:sz w:val="24"/>
          <w:szCs w:val="24"/>
        </w:rPr>
        <w:t xml:space="preserve"> </w:t>
      </w:r>
      <w:r w:rsidRPr="000D7A93">
        <w:rPr>
          <w:rFonts w:ascii="Times New Roman" w:hAnsi="Times New Roman" w:cs="Times New Roman"/>
          <w:sz w:val="24"/>
          <w:szCs w:val="24"/>
        </w:rPr>
        <w:t>extensive online presence.</w:t>
      </w:r>
    </w:p>
    <w:p w:rsidR="00657D62" w:rsidRDefault="00657D62" w:rsidP="00BC68BD">
      <w:pPr>
        <w:autoSpaceDE w:val="0"/>
        <w:autoSpaceDN w:val="0"/>
        <w:adjustRightInd w:val="0"/>
        <w:spacing w:line="240" w:lineRule="auto"/>
        <w:ind w:left="0"/>
        <w:jc w:val="both"/>
        <w:rPr>
          <w:rFonts w:ascii="Times New Roman" w:hAnsi="Times New Roman" w:cs="Times New Roman"/>
          <w:sz w:val="24"/>
          <w:szCs w:val="24"/>
        </w:rPr>
      </w:pPr>
    </w:p>
    <w:p w:rsidR="00657D62" w:rsidRDefault="00657D62" w:rsidP="00BC68BD">
      <w:pPr>
        <w:autoSpaceDE w:val="0"/>
        <w:autoSpaceDN w:val="0"/>
        <w:adjustRightInd w:val="0"/>
        <w:spacing w:line="240" w:lineRule="auto"/>
        <w:ind w:left="0"/>
        <w:jc w:val="both"/>
        <w:rPr>
          <w:rFonts w:ascii="Times New Roman" w:hAnsi="Times New Roman" w:cs="Times New Roman"/>
          <w:b/>
          <w:sz w:val="24"/>
          <w:szCs w:val="24"/>
        </w:rPr>
      </w:pPr>
      <w:r w:rsidRPr="00657D62">
        <w:rPr>
          <w:rFonts w:ascii="Times New Roman" w:hAnsi="Times New Roman" w:cs="Times New Roman"/>
          <w:b/>
          <w:sz w:val="24"/>
          <w:szCs w:val="24"/>
        </w:rPr>
        <w:t>INNOVATIVE MODELS</w:t>
      </w:r>
    </w:p>
    <w:p w:rsidR="00657D62" w:rsidRDefault="00657D62" w:rsidP="00BC68BD">
      <w:pPr>
        <w:autoSpaceDE w:val="0"/>
        <w:autoSpaceDN w:val="0"/>
        <w:adjustRightInd w:val="0"/>
        <w:spacing w:line="240" w:lineRule="auto"/>
        <w:ind w:left="0"/>
        <w:jc w:val="both"/>
        <w:rPr>
          <w:rStyle w:val="A15"/>
        </w:rPr>
      </w:pPr>
      <w:r w:rsidRPr="00657D62">
        <w:rPr>
          <w:rStyle w:val="A15"/>
          <w:rFonts w:ascii="Times New Roman" w:hAnsi="Times New Roman" w:cs="Times New Roman"/>
          <w:sz w:val="24"/>
          <w:szCs w:val="24"/>
        </w:rPr>
        <w:t xml:space="preserve">In times where it is important to conserve capital and allocate capital to resources that will deliver sustainable returns, no insurer can remain rigid in their distribution or operating model. Changing lifestyles and buying preferences will constantly dictate the future models of distribution. </w:t>
      </w:r>
      <w:r w:rsidR="00B72C43">
        <w:rPr>
          <w:rStyle w:val="A15"/>
          <w:rFonts w:ascii="Times New Roman" w:hAnsi="Times New Roman" w:cs="Times New Roman"/>
          <w:sz w:val="24"/>
          <w:szCs w:val="24"/>
        </w:rPr>
        <w:t xml:space="preserve">Although Banc-assurance and Micro-Insurance are in use new models need to be developed by the insurers. </w:t>
      </w:r>
      <w:r w:rsidRPr="00657D62">
        <w:rPr>
          <w:rStyle w:val="A15"/>
          <w:rFonts w:ascii="Times New Roman" w:hAnsi="Times New Roman" w:cs="Times New Roman"/>
          <w:sz w:val="24"/>
          <w:szCs w:val="24"/>
        </w:rPr>
        <w:t xml:space="preserve">However, </w:t>
      </w:r>
      <w:r w:rsidR="00B72C43">
        <w:rPr>
          <w:rStyle w:val="A15"/>
          <w:rFonts w:ascii="Times New Roman" w:hAnsi="Times New Roman" w:cs="Times New Roman"/>
          <w:sz w:val="24"/>
          <w:szCs w:val="24"/>
        </w:rPr>
        <w:t>they</w:t>
      </w:r>
      <w:r w:rsidRPr="00657D62">
        <w:rPr>
          <w:rStyle w:val="A15"/>
          <w:rFonts w:ascii="Times New Roman" w:hAnsi="Times New Roman" w:cs="Times New Roman"/>
          <w:sz w:val="24"/>
          <w:szCs w:val="24"/>
        </w:rPr>
        <w:t xml:space="preserve"> would also need to decide on the resources that need to be deployed to build these future models. While the urban market today might be comfortable buying online insurance products, they might not r</w:t>
      </w:r>
      <w:r w:rsidR="00B72C43">
        <w:rPr>
          <w:rStyle w:val="A15"/>
          <w:rFonts w:ascii="Times New Roman" w:hAnsi="Times New Roman" w:cs="Times New Roman"/>
          <w:sz w:val="24"/>
          <w:szCs w:val="24"/>
        </w:rPr>
        <w:t>esist the ’warm smile’ of an</w:t>
      </w:r>
      <w:r w:rsidRPr="00657D62">
        <w:rPr>
          <w:rStyle w:val="A15"/>
          <w:rFonts w:ascii="Times New Roman" w:hAnsi="Times New Roman" w:cs="Times New Roman"/>
          <w:sz w:val="24"/>
          <w:szCs w:val="24"/>
        </w:rPr>
        <w:t xml:space="preserve"> insurance agent</w:t>
      </w:r>
      <w:r>
        <w:rPr>
          <w:rStyle w:val="A15"/>
        </w:rPr>
        <w:t>.</w:t>
      </w:r>
    </w:p>
    <w:p w:rsidR="00B72C43" w:rsidRDefault="00B72C43" w:rsidP="00BC68BD">
      <w:pPr>
        <w:autoSpaceDE w:val="0"/>
        <w:autoSpaceDN w:val="0"/>
        <w:adjustRightInd w:val="0"/>
        <w:spacing w:line="240" w:lineRule="auto"/>
        <w:ind w:left="0"/>
        <w:jc w:val="both"/>
        <w:rPr>
          <w:rStyle w:val="A15"/>
        </w:rPr>
      </w:pPr>
    </w:p>
    <w:p w:rsidR="00657D62" w:rsidRDefault="00657D62" w:rsidP="00BC68BD">
      <w:pPr>
        <w:autoSpaceDE w:val="0"/>
        <w:autoSpaceDN w:val="0"/>
        <w:adjustRightInd w:val="0"/>
        <w:spacing w:line="240" w:lineRule="auto"/>
        <w:ind w:left="0"/>
        <w:jc w:val="both"/>
        <w:rPr>
          <w:rStyle w:val="A2"/>
          <w:rFonts w:ascii="Times New Roman" w:hAnsi="Times New Roman" w:cs="Times New Roman"/>
          <w:b/>
          <w:sz w:val="23"/>
          <w:szCs w:val="23"/>
        </w:rPr>
      </w:pPr>
      <w:r w:rsidRPr="00657D62">
        <w:rPr>
          <w:rStyle w:val="A2"/>
          <w:rFonts w:ascii="Times New Roman" w:hAnsi="Times New Roman" w:cs="Times New Roman"/>
          <w:b/>
          <w:sz w:val="23"/>
          <w:szCs w:val="23"/>
        </w:rPr>
        <w:t>Peer-to-peer (P2P) insurance or social insurance</w:t>
      </w:r>
    </w:p>
    <w:p w:rsidR="007666A7" w:rsidRPr="00657D62" w:rsidRDefault="007666A7" w:rsidP="00BC68BD">
      <w:pPr>
        <w:autoSpaceDE w:val="0"/>
        <w:autoSpaceDN w:val="0"/>
        <w:adjustRightInd w:val="0"/>
        <w:spacing w:line="240" w:lineRule="auto"/>
        <w:ind w:left="0"/>
        <w:jc w:val="both"/>
        <w:rPr>
          <w:rFonts w:ascii="Times New Roman" w:hAnsi="Times New Roman" w:cs="Times New Roman"/>
          <w:b/>
          <w:sz w:val="24"/>
          <w:szCs w:val="24"/>
        </w:rPr>
      </w:pPr>
    </w:p>
    <w:p w:rsidR="00152F12" w:rsidRDefault="00657D62" w:rsidP="00BC68BD">
      <w:pPr>
        <w:autoSpaceDE w:val="0"/>
        <w:autoSpaceDN w:val="0"/>
        <w:adjustRightInd w:val="0"/>
        <w:spacing w:line="240" w:lineRule="auto"/>
        <w:ind w:left="0"/>
        <w:jc w:val="both"/>
        <w:rPr>
          <w:rFonts w:cs="Univers LT Std 45 Light"/>
          <w:color w:val="000000"/>
          <w:sz w:val="19"/>
          <w:szCs w:val="19"/>
        </w:rPr>
      </w:pPr>
      <w:r w:rsidRPr="00B72C43">
        <w:rPr>
          <w:rFonts w:ascii="Times New Roman" w:hAnsi="Times New Roman" w:cs="Times New Roman"/>
          <w:color w:val="000000"/>
          <w:sz w:val="24"/>
          <w:szCs w:val="24"/>
        </w:rPr>
        <w:t xml:space="preserve">This draws its influence from P2P lending which is the practice of lending money to unrelated individuals or ‘peers’ without going through the traditional financial intermediary such as a bank or other traditional financial institution. The lending takes place online on peer-to-peer lending companies’ websites using various lending platforms and credit checking tools. Many such platforms exist today in the United Kingdom and United States with the first one in India being the Bangalore-based </w:t>
      </w:r>
      <w:r w:rsidR="00A64CDB">
        <w:rPr>
          <w:rFonts w:ascii="Times New Roman" w:hAnsi="Times New Roman" w:cs="Times New Roman"/>
          <w:color w:val="000000"/>
          <w:sz w:val="24"/>
          <w:szCs w:val="24"/>
        </w:rPr>
        <w:t xml:space="preserve"> </w:t>
      </w:r>
      <w:r w:rsidRPr="00B72C43">
        <w:rPr>
          <w:rFonts w:ascii="Times New Roman" w:hAnsi="Times New Roman" w:cs="Times New Roman"/>
          <w:color w:val="000000"/>
          <w:sz w:val="24"/>
          <w:szCs w:val="24"/>
        </w:rPr>
        <w:t>DhanaX. In the UK, the first and most successful P2P lender is Zopa which was founded in 2005 and has issued loans in the amount of GBP 278 million with over 500,000 customers</w:t>
      </w:r>
      <w:r>
        <w:rPr>
          <w:rFonts w:cs="Univers LT Std 45 Light"/>
          <w:color w:val="000000"/>
          <w:sz w:val="19"/>
          <w:szCs w:val="19"/>
        </w:rPr>
        <w:t>.</w:t>
      </w:r>
    </w:p>
    <w:p w:rsidR="00B72C43" w:rsidRDefault="00B72C43" w:rsidP="00BC68BD">
      <w:pPr>
        <w:autoSpaceDE w:val="0"/>
        <w:autoSpaceDN w:val="0"/>
        <w:adjustRightInd w:val="0"/>
        <w:spacing w:line="240" w:lineRule="auto"/>
        <w:ind w:left="0"/>
        <w:jc w:val="both"/>
        <w:rPr>
          <w:rFonts w:cs="Univers LT Std 45 Light"/>
          <w:color w:val="000000"/>
          <w:sz w:val="19"/>
          <w:szCs w:val="19"/>
        </w:rPr>
      </w:pPr>
    </w:p>
    <w:p w:rsidR="00657D62" w:rsidRDefault="00657D62" w:rsidP="00BC68BD">
      <w:pPr>
        <w:autoSpaceDE w:val="0"/>
        <w:autoSpaceDN w:val="0"/>
        <w:adjustRightInd w:val="0"/>
        <w:spacing w:line="240" w:lineRule="auto"/>
        <w:ind w:left="0"/>
        <w:jc w:val="both"/>
        <w:rPr>
          <w:rStyle w:val="A2"/>
          <w:rFonts w:ascii="Times New Roman" w:hAnsi="Times New Roman" w:cs="Times New Roman"/>
          <w:b/>
          <w:sz w:val="23"/>
          <w:szCs w:val="23"/>
        </w:rPr>
      </w:pPr>
      <w:r w:rsidRPr="00657D62">
        <w:rPr>
          <w:rStyle w:val="A2"/>
          <w:rFonts w:ascii="Times New Roman" w:hAnsi="Times New Roman" w:cs="Times New Roman"/>
          <w:b/>
          <w:sz w:val="23"/>
          <w:szCs w:val="23"/>
        </w:rPr>
        <w:t>Direct delivery model</w:t>
      </w:r>
    </w:p>
    <w:p w:rsidR="007666A7" w:rsidRDefault="007666A7" w:rsidP="00BC68BD">
      <w:pPr>
        <w:autoSpaceDE w:val="0"/>
        <w:autoSpaceDN w:val="0"/>
        <w:adjustRightInd w:val="0"/>
        <w:spacing w:line="240" w:lineRule="auto"/>
        <w:ind w:left="0"/>
        <w:jc w:val="both"/>
        <w:rPr>
          <w:rStyle w:val="A2"/>
          <w:rFonts w:ascii="Times New Roman" w:hAnsi="Times New Roman" w:cs="Times New Roman"/>
          <w:b/>
          <w:sz w:val="23"/>
          <w:szCs w:val="23"/>
        </w:rPr>
      </w:pPr>
    </w:p>
    <w:p w:rsidR="00657D62" w:rsidRPr="00657D62" w:rsidRDefault="00657D62" w:rsidP="00BC68BD">
      <w:pPr>
        <w:pStyle w:val="Pa2"/>
        <w:spacing w:after="120"/>
        <w:jc w:val="both"/>
        <w:rPr>
          <w:rFonts w:ascii="Times New Roman" w:hAnsi="Times New Roman" w:cs="Times New Roman"/>
          <w:color w:val="000000"/>
        </w:rPr>
      </w:pPr>
      <w:r w:rsidRPr="00657D62">
        <w:rPr>
          <w:rFonts w:ascii="Times New Roman" w:hAnsi="Times New Roman" w:cs="Times New Roman"/>
          <w:color w:val="000000"/>
        </w:rPr>
        <w:t>The direct-to-customer approach means that the life insurance companies ha</w:t>
      </w:r>
      <w:r w:rsidR="00EA3AD4">
        <w:rPr>
          <w:rFonts w:ascii="Times New Roman" w:hAnsi="Times New Roman" w:cs="Times New Roman"/>
          <w:color w:val="000000"/>
        </w:rPr>
        <w:t xml:space="preserve">ve to focus on four key levers: </w:t>
      </w:r>
      <w:r w:rsidRPr="00657D62">
        <w:rPr>
          <w:rFonts w:ascii="Times New Roman" w:hAnsi="Times New Roman" w:cs="Times New Roman"/>
          <w:color w:val="000000"/>
        </w:rPr>
        <w:t xml:space="preserve"> </w:t>
      </w:r>
    </w:p>
    <w:p w:rsidR="00657D62" w:rsidRPr="00657D62" w:rsidRDefault="00657D62" w:rsidP="00BC68BD">
      <w:pPr>
        <w:pStyle w:val="Pa16"/>
        <w:spacing w:after="120"/>
        <w:ind w:left="180" w:hanging="180"/>
        <w:jc w:val="both"/>
        <w:rPr>
          <w:rFonts w:ascii="Times New Roman" w:hAnsi="Times New Roman" w:cs="Times New Roman"/>
          <w:color w:val="000000"/>
        </w:rPr>
      </w:pPr>
      <w:r w:rsidRPr="00657D62">
        <w:rPr>
          <w:rStyle w:val="A13"/>
          <w:rFonts w:ascii="Times New Roman" w:hAnsi="Times New Roman" w:cs="Times New Roman"/>
          <w:sz w:val="24"/>
          <w:szCs w:val="24"/>
        </w:rPr>
        <w:t xml:space="preserve">i. </w:t>
      </w:r>
      <w:r w:rsidRPr="00657D62">
        <w:rPr>
          <w:rFonts w:ascii="Times New Roman" w:hAnsi="Times New Roman" w:cs="Times New Roman"/>
          <w:color w:val="000000"/>
        </w:rPr>
        <w:t>Customer segmentation and analytics for targeted approach to marketing</w:t>
      </w:r>
    </w:p>
    <w:p w:rsidR="00657D62" w:rsidRPr="00657D62" w:rsidRDefault="00657D62" w:rsidP="00BC68BD">
      <w:pPr>
        <w:pStyle w:val="Pa16"/>
        <w:spacing w:after="120"/>
        <w:ind w:left="180" w:hanging="180"/>
        <w:jc w:val="both"/>
        <w:rPr>
          <w:rFonts w:ascii="Times New Roman" w:hAnsi="Times New Roman" w:cs="Times New Roman"/>
          <w:color w:val="000000"/>
        </w:rPr>
      </w:pPr>
      <w:r w:rsidRPr="00657D62">
        <w:rPr>
          <w:rStyle w:val="A13"/>
          <w:rFonts w:ascii="Times New Roman" w:hAnsi="Times New Roman" w:cs="Times New Roman"/>
          <w:sz w:val="24"/>
          <w:szCs w:val="24"/>
        </w:rPr>
        <w:t xml:space="preserve">ii. </w:t>
      </w:r>
      <w:r w:rsidR="00B72C43">
        <w:rPr>
          <w:rFonts w:ascii="Times New Roman" w:hAnsi="Times New Roman" w:cs="Times New Roman"/>
          <w:color w:val="000000"/>
        </w:rPr>
        <w:t>M</w:t>
      </w:r>
      <w:r w:rsidRPr="00657D62">
        <w:rPr>
          <w:rFonts w:ascii="Times New Roman" w:hAnsi="Times New Roman" w:cs="Times New Roman"/>
          <w:color w:val="000000"/>
        </w:rPr>
        <w:t>ulti-channel strategy that creates value for the direct customer</w:t>
      </w:r>
    </w:p>
    <w:p w:rsidR="00657D62" w:rsidRPr="00657D62" w:rsidRDefault="00657D62" w:rsidP="00BC68BD">
      <w:pPr>
        <w:pStyle w:val="Pa16"/>
        <w:spacing w:after="120"/>
        <w:ind w:left="180" w:hanging="180"/>
        <w:jc w:val="both"/>
        <w:rPr>
          <w:rFonts w:ascii="Times New Roman" w:hAnsi="Times New Roman" w:cs="Times New Roman"/>
          <w:color w:val="000000"/>
        </w:rPr>
      </w:pPr>
      <w:r w:rsidRPr="00657D62">
        <w:rPr>
          <w:rStyle w:val="A13"/>
          <w:rFonts w:ascii="Times New Roman" w:hAnsi="Times New Roman" w:cs="Times New Roman"/>
          <w:sz w:val="24"/>
          <w:szCs w:val="24"/>
        </w:rPr>
        <w:t xml:space="preserve">iii. </w:t>
      </w:r>
      <w:r w:rsidRPr="00657D62">
        <w:rPr>
          <w:rFonts w:ascii="Times New Roman" w:hAnsi="Times New Roman" w:cs="Times New Roman"/>
          <w:color w:val="000000"/>
        </w:rPr>
        <w:t>Product offerings need to be simple and easy to understand; most importantly easy to explain</w:t>
      </w:r>
    </w:p>
    <w:p w:rsidR="00657D62" w:rsidRDefault="00657D62" w:rsidP="00BC68BD">
      <w:pPr>
        <w:autoSpaceDE w:val="0"/>
        <w:autoSpaceDN w:val="0"/>
        <w:adjustRightInd w:val="0"/>
        <w:spacing w:line="240" w:lineRule="auto"/>
        <w:ind w:left="0"/>
        <w:jc w:val="both"/>
        <w:rPr>
          <w:rFonts w:ascii="Times New Roman" w:hAnsi="Times New Roman" w:cs="Times New Roman"/>
          <w:color w:val="000000"/>
          <w:sz w:val="24"/>
          <w:szCs w:val="24"/>
        </w:rPr>
      </w:pPr>
      <w:r w:rsidRPr="00657D62">
        <w:rPr>
          <w:rStyle w:val="A13"/>
          <w:rFonts w:ascii="Times New Roman" w:hAnsi="Times New Roman" w:cs="Times New Roman"/>
          <w:sz w:val="24"/>
          <w:szCs w:val="24"/>
        </w:rPr>
        <w:t xml:space="preserve">iv. </w:t>
      </w:r>
      <w:r w:rsidRPr="00657D62">
        <w:rPr>
          <w:rFonts w:ascii="Times New Roman" w:hAnsi="Times New Roman" w:cs="Times New Roman"/>
          <w:color w:val="000000"/>
          <w:sz w:val="24"/>
          <w:szCs w:val="24"/>
        </w:rPr>
        <w:t>After sales support that should be technology-driven in order to remain cost-effective</w:t>
      </w:r>
    </w:p>
    <w:p w:rsidR="00B72C43" w:rsidRDefault="00B72C43" w:rsidP="00BC68BD">
      <w:pPr>
        <w:autoSpaceDE w:val="0"/>
        <w:autoSpaceDN w:val="0"/>
        <w:adjustRightInd w:val="0"/>
        <w:spacing w:line="240" w:lineRule="auto"/>
        <w:ind w:left="0"/>
        <w:jc w:val="both"/>
        <w:rPr>
          <w:rFonts w:ascii="Times New Roman" w:hAnsi="Times New Roman" w:cs="Times New Roman"/>
          <w:color w:val="000000"/>
          <w:sz w:val="24"/>
          <w:szCs w:val="24"/>
        </w:rPr>
      </w:pPr>
    </w:p>
    <w:p w:rsidR="00657D62" w:rsidRDefault="00657D62" w:rsidP="00BC68BD">
      <w:pPr>
        <w:autoSpaceDE w:val="0"/>
        <w:autoSpaceDN w:val="0"/>
        <w:adjustRightInd w:val="0"/>
        <w:spacing w:line="240" w:lineRule="auto"/>
        <w:ind w:left="0"/>
        <w:jc w:val="both"/>
        <w:rPr>
          <w:rStyle w:val="A2"/>
          <w:rFonts w:ascii="Times New Roman" w:hAnsi="Times New Roman" w:cs="Times New Roman"/>
          <w:b/>
          <w:sz w:val="24"/>
          <w:szCs w:val="24"/>
        </w:rPr>
      </w:pPr>
      <w:r w:rsidRPr="00657D62">
        <w:rPr>
          <w:rStyle w:val="A2"/>
          <w:rFonts w:ascii="Times New Roman" w:hAnsi="Times New Roman" w:cs="Times New Roman"/>
          <w:b/>
          <w:sz w:val="24"/>
          <w:szCs w:val="24"/>
        </w:rPr>
        <w:t>Mobile-based insurance model</w:t>
      </w:r>
    </w:p>
    <w:p w:rsidR="007666A7" w:rsidRDefault="007666A7" w:rsidP="00BC68BD">
      <w:pPr>
        <w:autoSpaceDE w:val="0"/>
        <w:autoSpaceDN w:val="0"/>
        <w:adjustRightInd w:val="0"/>
        <w:spacing w:line="240" w:lineRule="auto"/>
        <w:ind w:left="0"/>
        <w:jc w:val="both"/>
        <w:rPr>
          <w:rStyle w:val="A2"/>
          <w:rFonts w:ascii="Times New Roman" w:hAnsi="Times New Roman" w:cs="Times New Roman"/>
          <w:b/>
          <w:sz w:val="24"/>
          <w:szCs w:val="24"/>
        </w:rPr>
      </w:pPr>
    </w:p>
    <w:p w:rsidR="00657D62" w:rsidRPr="00B72C43" w:rsidRDefault="00657D62" w:rsidP="00BC68BD">
      <w:pPr>
        <w:autoSpaceDE w:val="0"/>
        <w:autoSpaceDN w:val="0"/>
        <w:adjustRightInd w:val="0"/>
        <w:spacing w:line="240" w:lineRule="auto"/>
        <w:ind w:left="0"/>
        <w:jc w:val="both"/>
        <w:rPr>
          <w:rStyle w:val="A14"/>
          <w:rFonts w:ascii="Times New Roman" w:hAnsi="Times New Roman" w:cs="Times New Roman"/>
          <w:sz w:val="24"/>
          <w:szCs w:val="24"/>
        </w:rPr>
      </w:pPr>
      <w:r w:rsidRPr="00B72C43">
        <w:rPr>
          <w:rFonts w:ascii="Times New Roman" w:hAnsi="Times New Roman" w:cs="Times New Roman"/>
          <w:color w:val="000000"/>
          <w:sz w:val="24"/>
          <w:szCs w:val="24"/>
        </w:rPr>
        <w:t>There are over 865 million mobile users in India as of December 2012 of which around 535 million are urban users while 330 million are rural users</w:t>
      </w:r>
      <w:r w:rsidR="00B72C43" w:rsidRPr="00B72C43">
        <w:rPr>
          <w:rFonts w:ascii="Times New Roman" w:hAnsi="Times New Roman" w:cs="Times New Roman"/>
          <w:color w:val="000000"/>
          <w:sz w:val="24"/>
          <w:szCs w:val="24"/>
        </w:rPr>
        <w:t xml:space="preserve">. </w:t>
      </w:r>
      <w:r w:rsidRPr="00B72C43">
        <w:rPr>
          <w:rStyle w:val="A14"/>
          <w:rFonts w:ascii="Times New Roman" w:hAnsi="Times New Roman" w:cs="Times New Roman"/>
          <w:sz w:val="24"/>
          <w:szCs w:val="24"/>
        </w:rPr>
        <w:t>(</w:t>
      </w:r>
      <w:r w:rsidR="00B72C43" w:rsidRPr="00B72C43">
        <w:rPr>
          <w:rStyle w:val="A12"/>
          <w:rFonts w:ascii="Times New Roman" w:hAnsi="Times New Roman" w:cs="Times New Roman"/>
          <w:sz w:val="24"/>
          <w:szCs w:val="24"/>
        </w:rPr>
        <w:t>TRAI Press Release No. 08/2013 dated 7 February 2013 – Highlights of Telecom Subscription Data as on 31 December 2012)</w:t>
      </w:r>
      <w:r w:rsidR="00B72C43" w:rsidRPr="00B72C43">
        <w:rPr>
          <w:rFonts w:ascii="Times New Roman" w:hAnsi="Times New Roman" w:cs="Times New Roman"/>
          <w:color w:val="000000"/>
          <w:sz w:val="24"/>
          <w:szCs w:val="24"/>
        </w:rPr>
        <w:t xml:space="preserve"> This means that it has become a necessity that there is a proposition to be offered to the mobile customers. Extending the business </w:t>
      </w:r>
      <w:r w:rsidR="00B72C43" w:rsidRPr="00B72C43">
        <w:rPr>
          <w:rFonts w:ascii="Times New Roman" w:hAnsi="Times New Roman" w:cs="Times New Roman"/>
          <w:color w:val="000000"/>
          <w:sz w:val="24"/>
          <w:szCs w:val="24"/>
        </w:rPr>
        <w:lastRenderedPageBreak/>
        <w:t>capabilities to mobile devices has quickly become a fundamental requirement for companies. Customers increasingly expect it and business partners and employees have become more comfortable with communicating and sharing information anywhere, through any device.</w:t>
      </w:r>
      <w:r w:rsidR="00B72C43" w:rsidRPr="00B72C43">
        <w:rPr>
          <w:rFonts w:cs="Univers LT Std 45 Light"/>
          <w:color w:val="000000"/>
          <w:sz w:val="19"/>
          <w:szCs w:val="19"/>
        </w:rPr>
        <w:t xml:space="preserve"> </w:t>
      </w:r>
      <w:r w:rsidR="00B72C43" w:rsidRPr="00B72C43">
        <w:rPr>
          <w:rFonts w:ascii="Times New Roman" w:hAnsi="Times New Roman" w:cs="Times New Roman"/>
          <w:color w:val="000000"/>
          <w:sz w:val="24"/>
          <w:szCs w:val="24"/>
        </w:rPr>
        <w:t>In the same manner in which banks had taken to mobile banking applications a few years back and offering a mobile proposition, insurers might have to do the same.</w:t>
      </w:r>
    </w:p>
    <w:p w:rsidR="00657D62" w:rsidRDefault="00657D62" w:rsidP="00BC68BD">
      <w:pPr>
        <w:autoSpaceDE w:val="0"/>
        <w:autoSpaceDN w:val="0"/>
        <w:adjustRightInd w:val="0"/>
        <w:spacing w:line="240" w:lineRule="auto"/>
        <w:ind w:left="0"/>
        <w:jc w:val="both"/>
        <w:rPr>
          <w:rStyle w:val="A14"/>
          <w:rFonts w:ascii="Times New Roman" w:hAnsi="Times New Roman" w:cs="Times New Roman"/>
          <w:sz w:val="24"/>
          <w:szCs w:val="24"/>
        </w:rPr>
      </w:pPr>
    </w:p>
    <w:p w:rsidR="007B0684" w:rsidRDefault="007B0684" w:rsidP="00BC68BD">
      <w:pPr>
        <w:autoSpaceDE w:val="0"/>
        <w:autoSpaceDN w:val="0"/>
        <w:adjustRightInd w:val="0"/>
        <w:spacing w:line="240" w:lineRule="auto"/>
        <w:ind w:left="0"/>
        <w:jc w:val="both"/>
        <w:rPr>
          <w:rFonts w:ascii="Times New Roman" w:hAnsi="Times New Roman" w:cs="Times New Roman"/>
          <w:b/>
          <w:sz w:val="24"/>
          <w:szCs w:val="24"/>
        </w:rPr>
      </w:pPr>
    </w:p>
    <w:p w:rsidR="00152F12" w:rsidRPr="007B0684" w:rsidRDefault="00152F12" w:rsidP="00BC68BD">
      <w:pPr>
        <w:autoSpaceDE w:val="0"/>
        <w:autoSpaceDN w:val="0"/>
        <w:adjustRightInd w:val="0"/>
        <w:spacing w:line="240" w:lineRule="auto"/>
        <w:ind w:left="0"/>
        <w:jc w:val="both"/>
        <w:rPr>
          <w:rFonts w:ascii="Times New Roman" w:hAnsi="Times New Roman" w:cs="Times New Roman"/>
          <w:b/>
          <w:sz w:val="24"/>
          <w:szCs w:val="24"/>
        </w:rPr>
      </w:pPr>
      <w:r w:rsidRPr="007B0684">
        <w:rPr>
          <w:rFonts w:ascii="Times New Roman" w:hAnsi="Times New Roman" w:cs="Times New Roman"/>
          <w:b/>
          <w:sz w:val="24"/>
          <w:szCs w:val="24"/>
        </w:rPr>
        <w:t>CONCLUSION:</w:t>
      </w:r>
    </w:p>
    <w:p w:rsidR="00152F12" w:rsidRPr="00152F12" w:rsidRDefault="00152F12" w:rsidP="00BC68BD">
      <w:pPr>
        <w:autoSpaceDE w:val="0"/>
        <w:autoSpaceDN w:val="0"/>
        <w:adjustRightInd w:val="0"/>
        <w:spacing w:line="240" w:lineRule="auto"/>
        <w:ind w:left="0"/>
        <w:jc w:val="both"/>
        <w:rPr>
          <w:rFonts w:ascii="Univers LT Std 45 Light" w:hAnsi="Univers LT Std 45 Light" w:cs="Univers LT Std 45 Light"/>
          <w:color w:val="000000"/>
          <w:sz w:val="24"/>
          <w:szCs w:val="24"/>
        </w:rPr>
      </w:pPr>
    </w:p>
    <w:p w:rsidR="00152F12" w:rsidRDefault="00152F12" w:rsidP="00BC68BD">
      <w:pPr>
        <w:autoSpaceDE w:val="0"/>
        <w:autoSpaceDN w:val="0"/>
        <w:adjustRightInd w:val="0"/>
        <w:spacing w:line="240" w:lineRule="auto"/>
        <w:ind w:left="0"/>
        <w:jc w:val="both"/>
        <w:rPr>
          <w:rFonts w:ascii="Times New Roman" w:hAnsi="Times New Roman" w:cs="Times New Roman"/>
          <w:sz w:val="24"/>
          <w:szCs w:val="24"/>
        </w:rPr>
      </w:pPr>
      <w:r w:rsidRPr="009D7B87">
        <w:rPr>
          <w:rFonts w:ascii="Times New Roman" w:hAnsi="Times New Roman" w:cs="Times New Roman"/>
          <w:sz w:val="24"/>
          <w:szCs w:val="24"/>
        </w:rPr>
        <w:t>While the insurance industry still struggles to move out of the shadows cast by the challenges and uncertainties of the last few years, the strong fundamentals of the industry augur well for a roadmap to be drawn for sustainable long-term growth. The available headroom for development, sustainable external growth drivers, and competitive strategies would continue to drive growth in the gross written premiums. However, insurance companies would need to address the key concern around losses that continue to be a drag on the capital and on the shareholders’ return expectations. In order to achieve profitable growth for long term sustainability, insurers have two key imperatives. Firstly, they would need to conserve capital and optimize the existing resource deployment and distribution networks. Secondly, they would need to innovate not only in terms of value propositions but more importantly in terms of operating models in order to develop sustainable competitive edge.</w:t>
      </w:r>
    </w:p>
    <w:p w:rsidR="00B72C43" w:rsidRDefault="00B72C43" w:rsidP="00BC68BD">
      <w:pPr>
        <w:autoSpaceDE w:val="0"/>
        <w:autoSpaceDN w:val="0"/>
        <w:adjustRightInd w:val="0"/>
        <w:spacing w:line="240" w:lineRule="auto"/>
        <w:ind w:left="0"/>
        <w:jc w:val="both"/>
        <w:rPr>
          <w:rFonts w:ascii="Times New Roman" w:hAnsi="Times New Roman" w:cs="Times New Roman"/>
          <w:sz w:val="24"/>
          <w:szCs w:val="24"/>
        </w:rPr>
      </w:pPr>
    </w:p>
    <w:p w:rsidR="005179F2" w:rsidRDefault="005179F2" w:rsidP="00152F12">
      <w:pPr>
        <w:autoSpaceDE w:val="0"/>
        <w:autoSpaceDN w:val="0"/>
        <w:adjustRightInd w:val="0"/>
        <w:spacing w:line="240" w:lineRule="auto"/>
        <w:ind w:left="0"/>
        <w:rPr>
          <w:rFonts w:ascii="Times New Roman" w:hAnsi="Times New Roman" w:cs="Times New Roman"/>
          <w:b/>
          <w:sz w:val="24"/>
          <w:szCs w:val="24"/>
        </w:rPr>
      </w:pPr>
    </w:p>
    <w:p w:rsidR="00B72C43" w:rsidRPr="007B0684" w:rsidRDefault="00B72C43" w:rsidP="00152F12">
      <w:pPr>
        <w:autoSpaceDE w:val="0"/>
        <w:autoSpaceDN w:val="0"/>
        <w:adjustRightInd w:val="0"/>
        <w:spacing w:line="240" w:lineRule="auto"/>
        <w:ind w:left="0"/>
        <w:rPr>
          <w:rFonts w:ascii="Times New Roman" w:hAnsi="Times New Roman" w:cs="Times New Roman"/>
          <w:b/>
          <w:sz w:val="24"/>
          <w:szCs w:val="24"/>
        </w:rPr>
      </w:pPr>
      <w:r w:rsidRPr="007B0684">
        <w:rPr>
          <w:rFonts w:ascii="Times New Roman" w:hAnsi="Times New Roman" w:cs="Times New Roman"/>
          <w:b/>
          <w:sz w:val="24"/>
          <w:szCs w:val="24"/>
        </w:rPr>
        <w:t>REFERENCES</w:t>
      </w:r>
    </w:p>
    <w:p w:rsidR="00B72C43" w:rsidRDefault="00B72C43" w:rsidP="00152F12">
      <w:pPr>
        <w:autoSpaceDE w:val="0"/>
        <w:autoSpaceDN w:val="0"/>
        <w:adjustRightInd w:val="0"/>
        <w:spacing w:line="240" w:lineRule="auto"/>
        <w:ind w:left="0"/>
        <w:rPr>
          <w:rFonts w:ascii="Times New Roman" w:hAnsi="Times New Roman" w:cs="Times New Roman"/>
          <w:sz w:val="24"/>
          <w:szCs w:val="24"/>
        </w:rPr>
      </w:pPr>
    </w:p>
    <w:p w:rsidR="0006368C" w:rsidRPr="00957D45" w:rsidRDefault="0006368C" w:rsidP="0006368C">
      <w:pPr>
        <w:pStyle w:val="Default"/>
        <w:jc w:val="both"/>
        <w:rPr>
          <w:rFonts w:ascii="Calibri" w:hAnsi="Calibri" w:cs="Calibri"/>
        </w:rPr>
      </w:pPr>
      <w:r>
        <w:t>Ahmed. A., “Receptive Development the life insurance Industry in India “Trends and Challenges”,</w:t>
      </w:r>
      <w:r w:rsidRPr="00957D45">
        <w:t xml:space="preserve"> </w:t>
      </w:r>
    </w:p>
    <w:p w:rsidR="0006368C" w:rsidRDefault="0006368C" w:rsidP="0006368C">
      <w:pPr>
        <w:pStyle w:val="Default"/>
        <w:jc w:val="both"/>
        <w:rPr>
          <w:bCs/>
          <w:iCs/>
        </w:rPr>
      </w:pPr>
      <w:r w:rsidRPr="00957D45">
        <w:rPr>
          <w:rFonts w:ascii="Calibri" w:hAnsi="Calibri" w:cs="Calibri"/>
        </w:rPr>
        <w:t xml:space="preserve"> </w:t>
      </w:r>
      <w:r w:rsidRPr="00957D45">
        <w:rPr>
          <w:bCs/>
          <w:iCs/>
        </w:rPr>
        <w:t>Journal of Business Management &amp; Social Sciences Research</w:t>
      </w:r>
      <w:r>
        <w:rPr>
          <w:bCs/>
          <w:iCs/>
        </w:rPr>
        <w:t>,</w:t>
      </w:r>
      <w:r w:rsidRPr="00957D45">
        <w:rPr>
          <w:rFonts w:ascii="Calibri" w:hAnsi="Calibri" w:cs="Calibri"/>
        </w:rPr>
        <w:t xml:space="preserve"> </w:t>
      </w:r>
      <w:r w:rsidRPr="00957D45">
        <w:rPr>
          <w:bCs/>
          <w:iCs/>
        </w:rPr>
        <w:t>Volume 2, No.1, January 2013</w:t>
      </w:r>
      <w:r w:rsidR="00CD3FD1">
        <w:rPr>
          <w:bCs/>
          <w:iCs/>
        </w:rPr>
        <w:t xml:space="preserve">,  </w:t>
      </w:r>
      <w:r>
        <w:rPr>
          <w:bCs/>
          <w:iCs/>
        </w:rPr>
        <w:t>pp 51-54.</w:t>
      </w:r>
    </w:p>
    <w:p w:rsidR="0006368C" w:rsidRDefault="0006368C" w:rsidP="005179F2">
      <w:pPr>
        <w:pStyle w:val="Default"/>
        <w:jc w:val="both"/>
      </w:pPr>
    </w:p>
    <w:p w:rsidR="00B72C43" w:rsidRDefault="00B72C43" w:rsidP="005179F2">
      <w:pPr>
        <w:pStyle w:val="Default"/>
        <w:jc w:val="both"/>
      </w:pPr>
      <w:r w:rsidRPr="00A04C69">
        <w:t>Anderson &amp; Markides, August 2006, “Strategic Innovation at the Base of the Economic Pyramid,”</w:t>
      </w:r>
      <w:r w:rsidR="00280DA7">
        <w:t xml:space="preserve"> </w:t>
      </w:r>
      <w:r w:rsidRPr="00A04C69">
        <w:t xml:space="preserve">(Available at </w:t>
      </w:r>
      <w:hyperlink r:id="rId10" w:history="1">
        <w:r w:rsidR="00A04C69" w:rsidRPr="00DD7170">
          <w:rPr>
            <w:rStyle w:val="Hyperlink"/>
          </w:rPr>
          <w:t>www.ssrn.com</w:t>
        </w:r>
      </w:hyperlink>
      <w:r w:rsidRPr="00A04C69">
        <w:t xml:space="preserve">). </w:t>
      </w:r>
    </w:p>
    <w:p w:rsidR="00A04C69" w:rsidRPr="00A04C69" w:rsidRDefault="00A04C69" w:rsidP="005179F2">
      <w:pPr>
        <w:pStyle w:val="Default"/>
        <w:jc w:val="both"/>
      </w:pPr>
    </w:p>
    <w:p w:rsidR="00A04C69" w:rsidRDefault="00A04C69" w:rsidP="005179F2">
      <w:pPr>
        <w:autoSpaceDE w:val="0"/>
        <w:autoSpaceDN w:val="0"/>
        <w:adjustRightInd w:val="0"/>
        <w:spacing w:line="240" w:lineRule="auto"/>
        <w:ind w:left="0"/>
        <w:jc w:val="both"/>
        <w:rPr>
          <w:rFonts w:ascii="Times New Roman" w:hAnsi="Times New Roman" w:cs="Times New Roman"/>
          <w:sz w:val="24"/>
          <w:szCs w:val="24"/>
        </w:rPr>
      </w:pPr>
      <w:r w:rsidRPr="00A04C69">
        <w:rPr>
          <w:rFonts w:ascii="Times New Roman" w:hAnsi="Times New Roman" w:cs="Times New Roman"/>
          <w:iCs/>
          <w:sz w:val="24"/>
          <w:szCs w:val="24"/>
        </w:rPr>
        <w:t>Bhat. Ramesh “Insurance Industry in India: Structure,Performance, and Future Challenges</w:t>
      </w:r>
      <w:r w:rsidRPr="00A04C69">
        <w:rPr>
          <w:rFonts w:ascii="Times New Roman" w:hAnsi="Times New Roman" w:cs="Times New Roman"/>
          <w:iCs/>
          <w:color w:val="0E3193"/>
          <w:sz w:val="24"/>
          <w:szCs w:val="24"/>
        </w:rPr>
        <w:t xml:space="preserve">”, </w:t>
      </w:r>
      <w:r w:rsidR="00653463">
        <w:rPr>
          <w:rFonts w:ascii="Times New Roman" w:hAnsi="Times New Roman" w:cs="Times New Roman"/>
          <w:sz w:val="24"/>
          <w:szCs w:val="24"/>
        </w:rPr>
        <w:t>V</w:t>
      </w:r>
      <w:r w:rsidRPr="00A04C69">
        <w:rPr>
          <w:rFonts w:ascii="Times New Roman" w:hAnsi="Times New Roman" w:cs="Times New Roman"/>
          <w:sz w:val="24"/>
          <w:szCs w:val="24"/>
        </w:rPr>
        <w:t xml:space="preserve">ikalpa </w:t>
      </w:r>
      <w:r>
        <w:rPr>
          <w:rFonts w:ascii="Times New Roman" w:hAnsi="Times New Roman" w:cs="Times New Roman"/>
          <w:sz w:val="24"/>
          <w:szCs w:val="24"/>
        </w:rPr>
        <w:t>,</w:t>
      </w:r>
      <w:r w:rsidRPr="00A04C69">
        <w:rPr>
          <w:rFonts w:ascii="Times New Roman" w:hAnsi="Times New Roman" w:cs="Times New Roman"/>
          <w:sz w:val="24"/>
          <w:szCs w:val="24"/>
        </w:rPr>
        <w:t xml:space="preserve"> volume 30 </w:t>
      </w:r>
      <w:r>
        <w:rPr>
          <w:rFonts w:ascii="Times New Roman" w:hAnsi="Times New Roman" w:cs="Times New Roman"/>
          <w:sz w:val="24"/>
          <w:szCs w:val="24"/>
        </w:rPr>
        <w:t>,</w:t>
      </w:r>
      <w:r w:rsidRPr="00A04C69">
        <w:rPr>
          <w:rFonts w:ascii="Times New Roman" w:hAnsi="Times New Roman" w:cs="Times New Roman"/>
          <w:sz w:val="24"/>
          <w:szCs w:val="24"/>
        </w:rPr>
        <w:t xml:space="preserve">no 3 </w:t>
      </w:r>
      <w:r>
        <w:rPr>
          <w:rFonts w:ascii="Times New Roman" w:hAnsi="Times New Roman" w:cs="Times New Roman"/>
          <w:sz w:val="24"/>
          <w:szCs w:val="24"/>
        </w:rPr>
        <w:t>,</w:t>
      </w:r>
      <w:r w:rsidR="00376DEE">
        <w:rPr>
          <w:rFonts w:ascii="Times New Roman" w:hAnsi="Times New Roman" w:cs="Times New Roman"/>
          <w:sz w:val="24"/>
          <w:szCs w:val="24"/>
        </w:rPr>
        <w:t xml:space="preserve"> J</w:t>
      </w:r>
      <w:r w:rsidRPr="00A04C69">
        <w:rPr>
          <w:rFonts w:ascii="Times New Roman" w:hAnsi="Times New Roman" w:cs="Times New Roman"/>
          <w:sz w:val="24"/>
          <w:szCs w:val="24"/>
        </w:rPr>
        <w:t>uly - september 2005, pp 93-95</w:t>
      </w:r>
    </w:p>
    <w:p w:rsidR="00A04C69" w:rsidRDefault="00A04C69" w:rsidP="005179F2">
      <w:pPr>
        <w:autoSpaceDE w:val="0"/>
        <w:autoSpaceDN w:val="0"/>
        <w:adjustRightInd w:val="0"/>
        <w:spacing w:line="240" w:lineRule="auto"/>
        <w:ind w:left="0"/>
        <w:jc w:val="both"/>
        <w:rPr>
          <w:rFonts w:ascii="Times New Roman" w:hAnsi="Times New Roman" w:cs="Times New Roman"/>
          <w:sz w:val="24"/>
          <w:szCs w:val="24"/>
        </w:rPr>
      </w:pPr>
    </w:p>
    <w:p w:rsidR="0006368C" w:rsidRDefault="0006368C" w:rsidP="0006368C">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“Insurance Industry: Challenges, Reforms and Realignment”, Confederation of Indian Industry and Ernst &amp; Young Report 2012 </w:t>
      </w:r>
    </w:p>
    <w:p w:rsidR="0006368C" w:rsidRPr="00957D45" w:rsidRDefault="0006368C" w:rsidP="0006368C">
      <w:pPr>
        <w:autoSpaceDE w:val="0"/>
        <w:autoSpaceDN w:val="0"/>
        <w:adjustRightInd w:val="0"/>
        <w:spacing w:line="240" w:lineRule="auto"/>
        <w:ind w:left="0"/>
        <w:jc w:val="both"/>
        <w:rPr>
          <w:rFonts w:ascii="Times New Roman" w:hAnsi="Times New Roman" w:cs="Times New Roman"/>
          <w:sz w:val="24"/>
          <w:szCs w:val="24"/>
        </w:rPr>
      </w:pPr>
    </w:p>
    <w:p w:rsidR="0006368C" w:rsidRPr="00A04C69" w:rsidRDefault="0006368C" w:rsidP="0006368C">
      <w:pPr>
        <w:autoSpaceDE w:val="0"/>
        <w:autoSpaceDN w:val="0"/>
        <w:adjustRightInd w:val="0"/>
        <w:spacing w:line="240" w:lineRule="auto"/>
        <w:ind w:left="0"/>
        <w:jc w:val="both"/>
        <w:rPr>
          <w:rFonts w:ascii="Times New Roman" w:hAnsi="Times New Roman" w:cs="Times New Roman"/>
          <w:color w:val="231F20"/>
          <w:sz w:val="24"/>
          <w:szCs w:val="24"/>
        </w:rPr>
      </w:pPr>
      <w:r w:rsidRPr="00A04C69">
        <w:rPr>
          <w:rFonts w:ascii="Times New Roman" w:hAnsi="Times New Roman" w:cs="Times New Roman"/>
          <w:iCs/>
          <w:color w:val="231F20"/>
          <w:sz w:val="24"/>
          <w:szCs w:val="24"/>
        </w:rPr>
        <w:t xml:space="preserve"> “Indian insurance sector: Stepping into the next decade of growth” </w:t>
      </w:r>
      <w:r w:rsidRPr="00A04C69">
        <w:rPr>
          <w:rFonts w:ascii="Times New Roman" w:hAnsi="Times New Roman" w:cs="Times New Roman"/>
          <w:color w:val="231F20"/>
          <w:sz w:val="24"/>
          <w:szCs w:val="24"/>
        </w:rPr>
        <w:t>– Ernst &amp; Young, September 2010</w:t>
      </w:r>
    </w:p>
    <w:p w:rsidR="0006368C" w:rsidRDefault="0006368C" w:rsidP="0006368C">
      <w:pPr>
        <w:autoSpaceDE w:val="0"/>
        <w:autoSpaceDN w:val="0"/>
        <w:adjustRightInd w:val="0"/>
        <w:spacing w:line="240" w:lineRule="auto"/>
        <w:ind w:left="0"/>
        <w:jc w:val="both"/>
        <w:rPr>
          <w:rFonts w:ascii="EYInterstate-Light" w:hAnsi="EYInterstate-Light" w:cs="EYInterstate-Light"/>
          <w:color w:val="231F20"/>
          <w:sz w:val="24"/>
          <w:szCs w:val="24"/>
        </w:rPr>
      </w:pPr>
    </w:p>
    <w:p w:rsidR="0006368C" w:rsidRDefault="0006368C" w:rsidP="0006368C">
      <w:pPr>
        <w:autoSpaceDE w:val="0"/>
        <w:autoSpaceDN w:val="0"/>
        <w:adjustRightInd w:val="0"/>
        <w:spacing w:line="240" w:lineRule="auto"/>
        <w:ind w:left="0"/>
        <w:jc w:val="both"/>
        <w:rPr>
          <w:rFonts w:ascii="Times New Roman" w:hAnsi="Times New Roman" w:cs="Times New Roman"/>
          <w:color w:val="231F20"/>
          <w:sz w:val="24"/>
          <w:szCs w:val="24"/>
        </w:rPr>
      </w:pPr>
      <w:r w:rsidRPr="00A04C69">
        <w:rPr>
          <w:rFonts w:ascii="Times New Roman" w:hAnsi="Times New Roman" w:cs="Times New Roman"/>
          <w:color w:val="231F20"/>
          <w:sz w:val="24"/>
          <w:szCs w:val="24"/>
        </w:rPr>
        <w:t>IRDA Annual R</w:t>
      </w:r>
      <w:r>
        <w:rPr>
          <w:rFonts w:ascii="Times New Roman" w:hAnsi="Times New Roman" w:cs="Times New Roman"/>
          <w:color w:val="231F20"/>
          <w:sz w:val="24"/>
          <w:szCs w:val="24"/>
        </w:rPr>
        <w:t>eports, various editions FY 2005</w:t>
      </w:r>
      <w:r w:rsidRPr="00A04C69">
        <w:rPr>
          <w:rFonts w:ascii="Times New Roman" w:hAnsi="Times New Roman" w:cs="Times New Roman"/>
          <w:color w:val="231F20"/>
          <w:sz w:val="24"/>
          <w:szCs w:val="24"/>
        </w:rPr>
        <w:t xml:space="preserve"> to</w:t>
      </w:r>
      <w:r>
        <w:rPr>
          <w:rFonts w:ascii="Times New Roman" w:hAnsi="Times New Roman" w:cs="Times New Roman"/>
          <w:color w:val="231F20"/>
          <w:sz w:val="24"/>
          <w:szCs w:val="24"/>
        </w:rPr>
        <w:t xml:space="preserve"> FY 2013</w:t>
      </w:r>
    </w:p>
    <w:p w:rsidR="0006368C" w:rsidRDefault="0006368C" w:rsidP="005179F2">
      <w:pPr>
        <w:autoSpaceDE w:val="0"/>
        <w:autoSpaceDN w:val="0"/>
        <w:adjustRightInd w:val="0"/>
        <w:spacing w:line="240" w:lineRule="auto"/>
        <w:ind w:left="0"/>
        <w:jc w:val="both"/>
        <w:rPr>
          <w:rFonts w:ascii="Times New Roman" w:hAnsi="Times New Roman" w:cs="Times New Roman"/>
          <w:bCs/>
          <w:iCs/>
          <w:sz w:val="24"/>
          <w:szCs w:val="24"/>
        </w:rPr>
      </w:pPr>
    </w:p>
    <w:p w:rsidR="00A04C69" w:rsidRDefault="00A04C69" w:rsidP="005179F2">
      <w:pPr>
        <w:autoSpaceDE w:val="0"/>
        <w:autoSpaceDN w:val="0"/>
        <w:adjustRightInd w:val="0"/>
        <w:spacing w:line="240" w:lineRule="auto"/>
        <w:ind w:left="0"/>
        <w:jc w:val="both"/>
        <w:rPr>
          <w:rFonts w:ascii="Times New Roman" w:hAnsi="Times New Roman" w:cs="Times New Roman"/>
          <w:sz w:val="24"/>
          <w:szCs w:val="24"/>
        </w:rPr>
      </w:pPr>
      <w:r w:rsidRPr="00957D45">
        <w:rPr>
          <w:rFonts w:ascii="Times New Roman" w:hAnsi="Times New Roman" w:cs="Times New Roman"/>
          <w:bCs/>
          <w:iCs/>
          <w:sz w:val="24"/>
          <w:szCs w:val="24"/>
        </w:rPr>
        <w:t>Srivastava.A., Tripathi. S. &amp;Kumar</w:t>
      </w:r>
      <w:r w:rsidR="00957D45" w:rsidRPr="00957D45">
        <w:rPr>
          <w:rFonts w:ascii="Times New Roman" w:hAnsi="Times New Roman" w:cs="Times New Roman"/>
          <w:bCs/>
          <w:iCs/>
          <w:sz w:val="24"/>
          <w:szCs w:val="24"/>
        </w:rPr>
        <w:t>. A</w:t>
      </w:r>
      <w:r w:rsidRPr="00957D45">
        <w:rPr>
          <w:rFonts w:ascii="Times New Roman" w:hAnsi="Times New Roman" w:cs="Times New Roman"/>
          <w:bCs/>
          <w:iCs/>
          <w:sz w:val="24"/>
          <w:szCs w:val="24"/>
        </w:rPr>
        <w:t>,</w:t>
      </w:r>
      <w:r w:rsidR="00957D45">
        <w:rPr>
          <w:rFonts w:ascii="Times New Roman" w:hAnsi="Times New Roman" w:cs="Times New Roman"/>
          <w:bCs/>
          <w:iCs/>
          <w:sz w:val="24"/>
          <w:szCs w:val="24"/>
        </w:rPr>
        <w:t>”</w:t>
      </w:r>
      <w:r w:rsidRPr="00A04C69">
        <w:rPr>
          <w:rFonts w:ascii="Times New Roman" w:hAnsi="Times New Roman" w:cs="Times New Roman"/>
          <w:b/>
          <w:bCs/>
          <w:sz w:val="30"/>
          <w:szCs w:val="30"/>
        </w:rPr>
        <w:t xml:space="preserve"> </w:t>
      </w:r>
      <w:r w:rsidR="00957D45">
        <w:rPr>
          <w:rFonts w:ascii="Times New Roman" w:hAnsi="Times New Roman" w:cs="Times New Roman"/>
          <w:bCs/>
          <w:sz w:val="24"/>
          <w:szCs w:val="24"/>
        </w:rPr>
        <w:t>I</w:t>
      </w:r>
      <w:r w:rsidRPr="00A04C69">
        <w:rPr>
          <w:rFonts w:ascii="Times New Roman" w:hAnsi="Times New Roman" w:cs="Times New Roman"/>
          <w:bCs/>
          <w:sz w:val="24"/>
          <w:szCs w:val="24"/>
        </w:rPr>
        <w:t>ndian life insurance industry– the changing trends</w:t>
      </w:r>
      <w:r w:rsidR="00957D45">
        <w:rPr>
          <w:rFonts w:ascii="Times New Roman" w:hAnsi="Times New Roman" w:cs="Times New Roman"/>
          <w:bCs/>
          <w:sz w:val="24"/>
          <w:szCs w:val="24"/>
        </w:rPr>
        <w:t>”</w:t>
      </w:r>
      <w:r>
        <w:rPr>
          <w:rFonts w:ascii="Times New Roman" w:hAnsi="Times New Roman" w:cs="Times New Roman"/>
          <w:bCs/>
          <w:sz w:val="24"/>
          <w:szCs w:val="24"/>
        </w:rPr>
        <w:t>, The Researchers World</w:t>
      </w:r>
      <w:r w:rsidR="00957D45">
        <w:rPr>
          <w:rFonts w:ascii="Times New Roman" w:hAnsi="Times New Roman" w:cs="Times New Roman"/>
          <w:bCs/>
          <w:sz w:val="24"/>
          <w:szCs w:val="24"/>
        </w:rPr>
        <w:t xml:space="preserve">, </w:t>
      </w:r>
      <w:r w:rsidRPr="00957D45">
        <w:rPr>
          <w:rFonts w:ascii="Times New Roman" w:hAnsi="Times New Roman" w:cs="Times New Roman"/>
          <w:sz w:val="24"/>
          <w:szCs w:val="24"/>
        </w:rPr>
        <w:t>Vol.– III, Issue 2(3), April 2012 [93]</w:t>
      </w:r>
    </w:p>
    <w:p w:rsidR="00957D45" w:rsidRDefault="00957D45" w:rsidP="005179F2">
      <w:pPr>
        <w:autoSpaceDE w:val="0"/>
        <w:autoSpaceDN w:val="0"/>
        <w:adjustRightInd w:val="0"/>
        <w:spacing w:line="240" w:lineRule="auto"/>
        <w:ind w:left="0"/>
        <w:jc w:val="both"/>
        <w:rPr>
          <w:rFonts w:ascii="Times New Roman" w:hAnsi="Times New Roman" w:cs="Times New Roman"/>
          <w:sz w:val="24"/>
          <w:szCs w:val="24"/>
        </w:rPr>
      </w:pPr>
    </w:p>
    <w:p w:rsidR="007320A2" w:rsidRPr="007320A2" w:rsidRDefault="007320A2" w:rsidP="005179F2">
      <w:pPr>
        <w:pStyle w:val="Default"/>
        <w:jc w:val="both"/>
        <w:rPr>
          <w:bCs/>
          <w:iCs/>
          <w:color w:val="auto"/>
        </w:rPr>
      </w:pPr>
      <w:r>
        <w:rPr>
          <w:bCs/>
          <w:iCs/>
        </w:rPr>
        <w:t>Shahi, P., “Recent trends in the Marketing Strategies of LIC of India”, IJAIEM,</w:t>
      </w:r>
      <w:r w:rsidRPr="007320A2">
        <w:rPr>
          <w:b/>
          <w:bCs/>
          <w:color w:val="244061"/>
          <w:sz w:val="23"/>
          <w:szCs w:val="23"/>
        </w:rPr>
        <w:t xml:space="preserve"> </w:t>
      </w:r>
      <w:r w:rsidRPr="007320A2">
        <w:rPr>
          <w:bCs/>
          <w:color w:val="auto"/>
        </w:rPr>
        <w:t>Volume 2, Issue 10, October 2013</w:t>
      </w:r>
      <w:r>
        <w:rPr>
          <w:bCs/>
          <w:color w:val="auto"/>
        </w:rPr>
        <w:t>, pp 311-317.</w:t>
      </w:r>
    </w:p>
    <w:p w:rsidR="00957D45" w:rsidRPr="00957D45" w:rsidRDefault="00957D45" w:rsidP="005179F2">
      <w:pPr>
        <w:pStyle w:val="Default"/>
        <w:jc w:val="both"/>
      </w:pPr>
    </w:p>
    <w:p w:rsidR="007320A2" w:rsidRDefault="00957D45" w:rsidP="005179F2">
      <w:pPr>
        <w:autoSpaceDE w:val="0"/>
        <w:autoSpaceDN w:val="0"/>
        <w:adjustRightInd w:val="0"/>
        <w:spacing w:line="240" w:lineRule="auto"/>
        <w:ind w:left="0"/>
        <w:jc w:val="both"/>
        <w:rPr>
          <w:rFonts w:ascii="Times New Roman" w:hAnsi="Times New Roman" w:cs="Times New Roman"/>
          <w:sz w:val="24"/>
          <w:szCs w:val="24"/>
        </w:rPr>
      </w:pPr>
      <w:r w:rsidRPr="00957D45">
        <w:rPr>
          <w:rFonts w:ascii="Times New Roman" w:hAnsi="Times New Roman" w:cs="Times New Roman"/>
          <w:sz w:val="24"/>
          <w:szCs w:val="24"/>
        </w:rPr>
        <w:t>Sinha, R K, Nizamuddin M M and Alam, I (2012): An Investigation of insurance penetration and density of India by geography.</w:t>
      </w:r>
    </w:p>
    <w:sectPr w:rsidR="007320A2" w:rsidSect="005179F2">
      <w:footerReference w:type="default" r:id="rId11"/>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32A" w:rsidRDefault="0016032A" w:rsidP="0098743B">
      <w:pPr>
        <w:spacing w:line="240" w:lineRule="auto"/>
      </w:pPr>
      <w:r>
        <w:separator/>
      </w:r>
    </w:p>
  </w:endnote>
  <w:endnote w:type="continuationSeparator" w:id="1">
    <w:p w:rsidR="0016032A" w:rsidRDefault="0016032A" w:rsidP="009874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BerkeleyStd-Book">
    <w:panose1 w:val="00000000000000000000"/>
    <w:charset w:val="00"/>
    <w:family w:val="roman"/>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8039"/>
      <w:docPartObj>
        <w:docPartGallery w:val="Page Numbers (Bottom of Page)"/>
        <w:docPartUnique/>
      </w:docPartObj>
    </w:sdtPr>
    <w:sdtContent>
      <w:p w:rsidR="0098743B" w:rsidRDefault="0018152E">
        <w:pPr>
          <w:pStyle w:val="Footer"/>
          <w:jc w:val="center"/>
        </w:pPr>
        <w:fldSimple w:instr=" PAGE   \* MERGEFORMAT ">
          <w:r w:rsidR="00D76B88">
            <w:rPr>
              <w:noProof/>
            </w:rPr>
            <w:t>2</w:t>
          </w:r>
        </w:fldSimple>
      </w:p>
    </w:sdtContent>
  </w:sdt>
  <w:p w:rsidR="0098743B" w:rsidRDefault="00987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32A" w:rsidRDefault="0016032A" w:rsidP="0098743B">
      <w:pPr>
        <w:spacing w:line="240" w:lineRule="auto"/>
      </w:pPr>
      <w:r>
        <w:separator/>
      </w:r>
    </w:p>
  </w:footnote>
  <w:footnote w:type="continuationSeparator" w:id="1">
    <w:p w:rsidR="0016032A" w:rsidRDefault="0016032A" w:rsidP="009874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760E"/>
    <w:multiLevelType w:val="hybridMultilevel"/>
    <w:tmpl w:val="99BE9FAA"/>
    <w:lvl w:ilvl="0" w:tplc="43E869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5500B"/>
    <w:multiLevelType w:val="hybridMultilevel"/>
    <w:tmpl w:val="DA5A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48F1"/>
    <w:rsid w:val="00013C94"/>
    <w:rsid w:val="00026320"/>
    <w:rsid w:val="0004573C"/>
    <w:rsid w:val="00061E23"/>
    <w:rsid w:val="0006368C"/>
    <w:rsid w:val="0006434C"/>
    <w:rsid w:val="000D7A93"/>
    <w:rsid w:val="00152F12"/>
    <w:rsid w:val="0016032A"/>
    <w:rsid w:val="001671A9"/>
    <w:rsid w:val="0018152E"/>
    <w:rsid w:val="00196478"/>
    <w:rsid w:val="001C7798"/>
    <w:rsid w:val="001D0AC3"/>
    <w:rsid w:val="00280DA7"/>
    <w:rsid w:val="00281D61"/>
    <w:rsid w:val="002A07F7"/>
    <w:rsid w:val="003353A2"/>
    <w:rsid w:val="0035153E"/>
    <w:rsid w:val="003657A5"/>
    <w:rsid w:val="00376DEE"/>
    <w:rsid w:val="0039257F"/>
    <w:rsid w:val="003C7FA1"/>
    <w:rsid w:val="003E4C4F"/>
    <w:rsid w:val="004128F8"/>
    <w:rsid w:val="00432951"/>
    <w:rsid w:val="00441917"/>
    <w:rsid w:val="00441CF4"/>
    <w:rsid w:val="0044252C"/>
    <w:rsid w:val="00450225"/>
    <w:rsid w:val="00502079"/>
    <w:rsid w:val="00505819"/>
    <w:rsid w:val="005179F2"/>
    <w:rsid w:val="00573B72"/>
    <w:rsid w:val="00577521"/>
    <w:rsid w:val="005C55DF"/>
    <w:rsid w:val="005D739E"/>
    <w:rsid w:val="00604B7E"/>
    <w:rsid w:val="00613E30"/>
    <w:rsid w:val="00653463"/>
    <w:rsid w:val="00657D62"/>
    <w:rsid w:val="006D26E1"/>
    <w:rsid w:val="00722D89"/>
    <w:rsid w:val="0073045A"/>
    <w:rsid w:val="007320A2"/>
    <w:rsid w:val="007666A7"/>
    <w:rsid w:val="00773B1A"/>
    <w:rsid w:val="007A32CB"/>
    <w:rsid w:val="007B0684"/>
    <w:rsid w:val="007E5D4B"/>
    <w:rsid w:val="008005F2"/>
    <w:rsid w:val="0095545C"/>
    <w:rsid w:val="00957D45"/>
    <w:rsid w:val="0098743B"/>
    <w:rsid w:val="009D7B87"/>
    <w:rsid w:val="00A04C69"/>
    <w:rsid w:val="00A075C6"/>
    <w:rsid w:val="00A210F8"/>
    <w:rsid w:val="00A355D2"/>
    <w:rsid w:val="00A64CDB"/>
    <w:rsid w:val="00AA0D20"/>
    <w:rsid w:val="00B403E0"/>
    <w:rsid w:val="00B72C43"/>
    <w:rsid w:val="00B84452"/>
    <w:rsid w:val="00B96B16"/>
    <w:rsid w:val="00BB6F9C"/>
    <w:rsid w:val="00BC4A42"/>
    <w:rsid w:val="00BC60BC"/>
    <w:rsid w:val="00BC6110"/>
    <w:rsid w:val="00BC68BD"/>
    <w:rsid w:val="00BD2238"/>
    <w:rsid w:val="00C13E73"/>
    <w:rsid w:val="00C22CD9"/>
    <w:rsid w:val="00C84249"/>
    <w:rsid w:val="00C9199D"/>
    <w:rsid w:val="00C93268"/>
    <w:rsid w:val="00CD3FD1"/>
    <w:rsid w:val="00CE1671"/>
    <w:rsid w:val="00CF597D"/>
    <w:rsid w:val="00D42A0D"/>
    <w:rsid w:val="00D76B88"/>
    <w:rsid w:val="00DD39DD"/>
    <w:rsid w:val="00DE29AB"/>
    <w:rsid w:val="00DF48F1"/>
    <w:rsid w:val="00EA3AD4"/>
    <w:rsid w:val="00F34C70"/>
    <w:rsid w:val="00F853B2"/>
    <w:rsid w:val="00F91918"/>
    <w:rsid w:val="00F96A7D"/>
    <w:rsid w:val="00FD30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F1"/>
    <w:pPr>
      <w:ind w:left="720"/>
      <w:contextualSpacing/>
    </w:pPr>
  </w:style>
  <w:style w:type="paragraph" w:customStyle="1" w:styleId="Default">
    <w:name w:val="Default"/>
    <w:rsid w:val="005D739E"/>
    <w:pPr>
      <w:autoSpaceDE w:val="0"/>
      <w:autoSpaceDN w:val="0"/>
      <w:adjustRightInd w:val="0"/>
      <w:spacing w:line="240" w:lineRule="auto"/>
      <w:ind w:left="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2C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D9"/>
    <w:rPr>
      <w:rFonts w:ascii="Tahoma" w:hAnsi="Tahoma" w:cs="Tahoma"/>
      <w:sz w:val="16"/>
      <w:szCs w:val="16"/>
    </w:rPr>
  </w:style>
  <w:style w:type="table" w:styleId="TableGrid">
    <w:name w:val="Table Grid"/>
    <w:basedOn w:val="TableNormal"/>
    <w:uiPriority w:val="59"/>
    <w:rsid w:val="001964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5">
    <w:name w:val="A15"/>
    <w:uiPriority w:val="99"/>
    <w:rsid w:val="00DE29AB"/>
    <w:rPr>
      <w:rFonts w:cs="Univers LT Std 45 Light"/>
      <w:color w:val="000000"/>
      <w:sz w:val="22"/>
      <w:szCs w:val="22"/>
    </w:rPr>
  </w:style>
  <w:style w:type="paragraph" w:customStyle="1" w:styleId="Pa2">
    <w:name w:val="Pa2"/>
    <w:basedOn w:val="Default"/>
    <w:next w:val="Default"/>
    <w:uiPriority w:val="99"/>
    <w:rsid w:val="003353A2"/>
    <w:pPr>
      <w:spacing w:line="191" w:lineRule="atLeast"/>
    </w:pPr>
    <w:rPr>
      <w:rFonts w:ascii="Univers LT Std 45 Light" w:hAnsi="Univers LT Std 45 Light" w:cstheme="minorBidi"/>
      <w:color w:val="auto"/>
    </w:rPr>
  </w:style>
  <w:style w:type="character" w:customStyle="1" w:styleId="A5">
    <w:name w:val="A5"/>
    <w:uiPriority w:val="99"/>
    <w:rsid w:val="003353A2"/>
    <w:rPr>
      <w:rFonts w:cs="Univers LT Std 45 Light"/>
      <w:b/>
      <w:bCs/>
      <w:color w:val="000000"/>
      <w:sz w:val="18"/>
      <w:szCs w:val="18"/>
    </w:rPr>
  </w:style>
  <w:style w:type="character" w:customStyle="1" w:styleId="A8">
    <w:name w:val="A8"/>
    <w:uiPriority w:val="99"/>
    <w:rsid w:val="003353A2"/>
    <w:rPr>
      <w:rFonts w:cs="Univers LT Std 45 Light"/>
      <w:color w:val="000000"/>
      <w:sz w:val="16"/>
      <w:szCs w:val="16"/>
    </w:rPr>
  </w:style>
  <w:style w:type="paragraph" w:customStyle="1" w:styleId="Pa19">
    <w:name w:val="Pa19"/>
    <w:basedOn w:val="Default"/>
    <w:next w:val="Default"/>
    <w:uiPriority w:val="99"/>
    <w:rsid w:val="003353A2"/>
    <w:pPr>
      <w:spacing w:line="191" w:lineRule="atLeast"/>
    </w:pPr>
    <w:rPr>
      <w:rFonts w:ascii="Univers LT Std 45 Light" w:hAnsi="Univers LT Std 45 Light" w:cstheme="minorBidi"/>
      <w:color w:val="auto"/>
    </w:rPr>
  </w:style>
  <w:style w:type="character" w:customStyle="1" w:styleId="A2">
    <w:name w:val="A2"/>
    <w:uiPriority w:val="99"/>
    <w:rsid w:val="00CE1671"/>
    <w:rPr>
      <w:rFonts w:cs="Univers LT Std 45 Light"/>
      <w:color w:val="000000"/>
    </w:rPr>
  </w:style>
  <w:style w:type="paragraph" w:customStyle="1" w:styleId="Pa21">
    <w:name w:val="Pa21"/>
    <w:basedOn w:val="Default"/>
    <w:next w:val="Default"/>
    <w:uiPriority w:val="99"/>
    <w:rsid w:val="00A355D2"/>
    <w:pPr>
      <w:spacing w:line="191" w:lineRule="atLeast"/>
    </w:pPr>
    <w:rPr>
      <w:rFonts w:ascii="Univers LT Std 45 Light" w:hAnsi="Univers LT Std 45 Light" w:cstheme="minorBidi"/>
      <w:color w:val="auto"/>
    </w:rPr>
  </w:style>
  <w:style w:type="paragraph" w:customStyle="1" w:styleId="Pa11">
    <w:name w:val="Pa11"/>
    <w:basedOn w:val="Default"/>
    <w:next w:val="Default"/>
    <w:uiPriority w:val="99"/>
    <w:rsid w:val="00A355D2"/>
    <w:pPr>
      <w:spacing w:line="191" w:lineRule="atLeast"/>
    </w:pPr>
    <w:rPr>
      <w:rFonts w:ascii="Univers LT Std 45 Light" w:hAnsi="Univers LT Std 45 Light" w:cstheme="minorBidi"/>
      <w:color w:val="auto"/>
    </w:rPr>
  </w:style>
  <w:style w:type="paragraph" w:customStyle="1" w:styleId="Pa3">
    <w:name w:val="Pa3"/>
    <w:basedOn w:val="Default"/>
    <w:next w:val="Default"/>
    <w:uiPriority w:val="99"/>
    <w:rsid w:val="00A355D2"/>
    <w:pPr>
      <w:spacing w:line="191" w:lineRule="atLeast"/>
    </w:pPr>
    <w:rPr>
      <w:rFonts w:ascii="Univers LT Std 45 Light" w:hAnsi="Univers LT Std 45 Light" w:cstheme="minorBidi"/>
      <w:color w:val="auto"/>
    </w:rPr>
  </w:style>
  <w:style w:type="paragraph" w:customStyle="1" w:styleId="Pa16">
    <w:name w:val="Pa16"/>
    <w:basedOn w:val="Default"/>
    <w:next w:val="Default"/>
    <w:uiPriority w:val="99"/>
    <w:rsid w:val="00657D62"/>
    <w:pPr>
      <w:spacing w:line="191" w:lineRule="atLeast"/>
    </w:pPr>
    <w:rPr>
      <w:rFonts w:ascii="Univers LT Std 45 Light" w:hAnsi="Univers LT Std 45 Light" w:cstheme="minorBidi"/>
      <w:color w:val="auto"/>
    </w:rPr>
  </w:style>
  <w:style w:type="character" w:customStyle="1" w:styleId="A13">
    <w:name w:val="A13"/>
    <w:uiPriority w:val="99"/>
    <w:rsid w:val="00657D62"/>
    <w:rPr>
      <w:rFonts w:cs="Univers LT Std 45 Light"/>
      <w:color w:val="000000"/>
      <w:sz w:val="19"/>
      <w:szCs w:val="19"/>
    </w:rPr>
  </w:style>
  <w:style w:type="character" w:customStyle="1" w:styleId="A14">
    <w:name w:val="A14"/>
    <w:uiPriority w:val="99"/>
    <w:rsid w:val="00657D62"/>
    <w:rPr>
      <w:rFonts w:cs="Univers LT Std 45 Light"/>
      <w:color w:val="000000"/>
      <w:sz w:val="11"/>
      <w:szCs w:val="11"/>
    </w:rPr>
  </w:style>
  <w:style w:type="character" w:customStyle="1" w:styleId="A12">
    <w:name w:val="A12"/>
    <w:uiPriority w:val="99"/>
    <w:rsid w:val="00B72C43"/>
    <w:rPr>
      <w:rFonts w:cs="Univers LT Std 45 Light"/>
      <w:color w:val="000000"/>
      <w:sz w:val="15"/>
      <w:szCs w:val="15"/>
    </w:rPr>
  </w:style>
  <w:style w:type="character" w:styleId="Hyperlink">
    <w:name w:val="Hyperlink"/>
    <w:basedOn w:val="DefaultParagraphFont"/>
    <w:uiPriority w:val="99"/>
    <w:unhideWhenUsed/>
    <w:rsid w:val="00A04C69"/>
    <w:rPr>
      <w:color w:val="0000FF" w:themeColor="hyperlink"/>
      <w:u w:val="single"/>
    </w:rPr>
  </w:style>
  <w:style w:type="paragraph" w:styleId="Header">
    <w:name w:val="header"/>
    <w:basedOn w:val="Normal"/>
    <w:link w:val="HeaderChar"/>
    <w:uiPriority w:val="99"/>
    <w:semiHidden/>
    <w:unhideWhenUsed/>
    <w:rsid w:val="0098743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8743B"/>
  </w:style>
  <w:style w:type="paragraph" w:styleId="Footer">
    <w:name w:val="footer"/>
    <w:basedOn w:val="Normal"/>
    <w:link w:val="FooterChar"/>
    <w:uiPriority w:val="99"/>
    <w:unhideWhenUsed/>
    <w:rsid w:val="0098743B"/>
    <w:pPr>
      <w:tabs>
        <w:tab w:val="center" w:pos="4513"/>
        <w:tab w:val="right" w:pos="9026"/>
      </w:tabs>
      <w:spacing w:line="240" w:lineRule="auto"/>
    </w:pPr>
  </w:style>
  <w:style w:type="character" w:customStyle="1" w:styleId="FooterChar">
    <w:name w:val="Footer Char"/>
    <w:basedOn w:val="DefaultParagraphFont"/>
    <w:link w:val="Footer"/>
    <w:uiPriority w:val="99"/>
    <w:rsid w:val="009874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srn.com"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stacked"/>
        <c:ser>
          <c:idx val="0"/>
          <c:order val="0"/>
          <c:tx>
            <c:strRef>
              <c:f>Sheet1!$B$1</c:f>
              <c:strCache>
                <c:ptCount val="1"/>
                <c:pt idx="0">
                  <c:v>Life </c:v>
                </c:pt>
              </c:strCache>
            </c:strRef>
          </c:tx>
          <c:dLbls>
            <c:txPr>
              <a:bodyPr/>
              <a:lstStyle/>
              <a:p>
                <a:pPr>
                  <a:defRPr lang="en-US"/>
                </a:pPr>
                <a:endParaRPr lang="en-US"/>
              </a:p>
            </c:txPr>
            <c:showVal val="1"/>
          </c:dLbls>
          <c:cat>
            <c:numRef>
              <c:f>Sheet1!$A$2:$A$6</c:f>
              <c:numCache>
                <c:formatCode>General</c:formatCode>
                <c:ptCount val="5"/>
                <c:pt idx="0">
                  <c:v>2008</c:v>
                </c:pt>
                <c:pt idx="1">
                  <c:v>2009</c:v>
                </c:pt>
                <c:pt idx="2">
                  <c:v>2010</c:v>
                </c:pt>
                <c:pt idx="3">
                  <c:v>2011</c:v>
                </c:pt>
                <c:pt idx="4">
                  <c:v>2012</c:v>
                </c:pt>
              </c:numCache>
            </c:numRef>
          </c:cat>
          <c:val>
            <c:numRef>
              <c:f>Sheet1!$B$2:$B$6</c:f>
              <c:numCache>
                <c:formatCode>#,##0.00</c:formatCode>
                <c:ptCount val="5"/>
                <c:pt idx="0" formatCode="General">
                  <c:v>2439.3000000000002</c:v>
                </c:pt>
                <c:pt idx="1">
                  <c:v>2367.4</c:v>
                </c:pt>
                <c:pt idx="2">
                  <c:v>2520.1</c:v>
                </c:pt>
                <c:pt idx="3" formatCode="_-* #,##0.00_-;\-* #,##0.00_-;_-* &quot;-&quot;??_-;_-@_-">
                  <c:v>2627.17</c:v>
                </c:pt>
                <c:pt idx="4" formatCode="_-* #,##0.00_-;\-* #,##0.00_-;_-* &quot;-&quot;??_-;_-@_-">
                  <c:v>2620.86</c:v>
                </c:pt>
              </c:numCache>
            </c:numRef>
          </c:val>
        </c:ser>
        <c:ser>
          <c:idx val="1"/>
          <c:order val="1"/>
          <c:tx>
            <c:strRef>
              <c:f>Sheet1!$C$1</c:f>
              <c:strCache>
                <c:ptCount val="1"/>
                <c:pt idx="0">
                  <c:v>Non-Life</c:v>
                </c:pt>
              </c:strCache>
            </c:strRef>
          </c:tx>
          <c:dLbls>
            <c:txPr>
              <a:bodyPr/>
              <a:lstStyle/>
              <a:p>
                <a:pPr>
                  <a:defRPr lang="en-US"/>
                </a:pPr>
                <a:endParaRPr lang="en-US"/>
              </a:p>
            </c:txPr>
            <c:showVal val="1"/>
          </c:dLbls>
          <c:cat>
            <c:numRef>
              <c:f>Sheet1!$A$2:$A$6</c:f>
              <c:numCache>
                <c:formatCode>General</c:formatCode>
                <c:ptCount val="5"/>
                <c:pt idx="0">
                  <c:v>2008</c:v>
                </c:pt>
                <c:pt idx="1">
                  <c:v>2009</c:v>
                </c:pt>
                <c:pt idx="2">
                  <c:v>2010</c:v>
                </c:pt>
                <c:pt idx="3">
                  <c:v>2011</c:v>
                </c:pt>
                <c:pt idx="4">
                  <c:v>2012</c:v>
                </c:pt>
              </c:numCache>
            </c:numRef>
          </c:cat>
          <c:val>
            <c:numRef>
              <c:f>Sheet1!$C$2:$C$6</c:f>
              <c:numCache>
                <c:formatCode>#,##0.00</c:formatCode>
                <c:ptCount val="5"/>
                <c:pt idx="0" formatCode="General">
                  <c:v>1781</c:v>
                </c:pt>
                <c:pt idx="1">
                  <c:v>1742.2</c:v>
                </c:pt>
                <c:pt idx="2">
                  <c:v>1818.9</c:v>
                </c:pt>
                <c:pt idx="3" formatCode="_-* #,##0.00_-;\-* #,##0.00_-;_-* &quot;-&quot;??_-;_-@_-">
                  <c:v>1969.52</c:v>
                </c:pt>
                <c:pt idx="4" formatCode="General">
                  <c:v>1991.6499999999999</c:v>
                </c:pt>
              </c:numCache>
            </c:numRef>
          </c:val>
        </c:ser>
        <c:overlap val="100"/>
        <c:axId val="62022400"/>
        <c:axId val="62024704"/>
      </c:barChart>
      <c:catAx>
        <c:axId val="62022400"/>
        <c:scaling>
          <c:orientation val="minMax"/>
        </c:scaling>
        <c:axPos val="b"/>
        <c:numFmt formatCode="General" sourceLinked="1"/>
        <c:tickLblPos val="nextTo"/>
        <c:txPr>
          <a:bodyPr/>
          <a:lstStyle/>
          <a:p>
            <a:pPr>
              <a:defRPr lang="en-US"/>
            </a:pPr>
            <a:endParaRPr lang="en-US"/>
          </a:p>
        </c:txPr>
        <c:crossAx val="62024704"/>
        <c:crosses val="autoZero"/>
        <c:auto val="1"/>
        <c:lblAlgn val="ctr"/>
        <c:lblOffset val="100"/>
      </c:catAx>
      <c:valAx>
        <c:axId val="62024704"/>
        <c:scaling>
          <c:orientation val="minMax"/>
        </c:scaling>
        <c:axPos val="l"/>
        <c:majorGridlines/>
        <c:numFmt formatCode="General" sourceLinked="1"/>
        <c:tickLblPos val="nextTo"/>
        <c:txPr>
          <a:bodyPr/>
          <a:lstStyle/>
          <a:p>
            <a:pPr>
              <a:defRPr lang="en-US"/>
            </a:pPr>
            <a:endParaRPr lang="en-US"/>
          </a:p>
        </c:txPr>
        <c:crossAx val="62022400"/>
        <c:crosses val="autoZero"/>
        <c:crossBetween val="between"/>
      </c:valAx>
    </c:plotArea>
    <c:legend>
      <c:legendPos val="r"/>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stacked"/>
        <c:ser>
          <c:idx val="0"/>
          <c:order val="0"/>
          <c:tx>
            <c:strRef>
              <c:f>Sheet1!$B$1</c:f>
              <c:strCache>
                <c:ptCount val="1"/>
                <c:pt idx="0">
                  <c:v>Column1</c:v>
                </c:pt>
              </c:strCache>
            </c:strRef>
          </c:tx>
          <c:dLbls>
            <c:txPr>
              <a:bodyPr/>
              <a:lstStyle/>
              <a:p>
                <a:pPr>
                  <a:defRPr lang="en-US"/>
                </a:pPr>
                <a:endParaRPr lang="en-US"/>
              </a:p>
            </c:txPr>
            <c:dLblPos val="inEnd"/>
            <c:showVal val="1"/>
          </c:dLbls>
          <c:cat>
            <c:strRef>
              <c:f>Sheet1!$A$2:$A$9</c:f>
              <c:strCache>
                <c:ptCount val="8"/>
                <c:pt idx="0">
                  <c:v>USA</c:v>
                </c:pt>
                <c:pt idx="1">
                  <c:v>UK</c:v>
                </c:pt>
                <c:pt idx="2">
                  <c:v>GERMANY</c:v>
                </c:pt>
                <c:pt idx="3">
                  <c:v>RUSSIA</c:v>
                </c:pt>
                <c:pt idx="4">
                  <c:v>SOUTH AFRICA</c:v>
                </c:pt>
                <c:pt idx="5">
                  <c:v>BRAZIL</c:v>
                </c:pt>
                <c:pt idx="6">
                  <c:v>CHINA</c:v>
                </c:pt>
                <c:pt idx="7">
                  <c:v>INDIA</c:v>
                </c:pt>
              </c:strCache>
            </c:strRef>
          </c:cat>
          <c:val>
            <c:numRef>
              <c:f>Sheet1!$B$2:$B$9</c:f>
              <c:numCache>
                <c:formatCode>General</c:formatCode>
                <c:ptCount val="8"/>
                <c:pt idx="0">
                  <c:v>4.5</c:v>
                </c:pt>
                <c:pt idx="1">
                  <c:v>3.1</c:v>
                </c:pt>
                <c:pt idx="2">
                  <c:v>3.8</c:v>
                </c:pt>
                <c:pt idx="3">
                  <c:v>2.2999999999999998</c:v>
                </c:pt>
                <c:pt idx="4">
                  <c:v>2.7</c:v>
                </c:pt>
                <c:pt idx="5">
                  <c:v>1.5</c:v>
                </c:pt>
                <c:pt idx="6">
                  <c:v>1.2</c:v>
                </c:pt>
                <c:pt idx="7">
                  <c:v>0.70000000000000062</c:v>
                </c:pt>
              </c:numCache>
            </c:numRef>
          </c:val>
        </c:ser>
        <c:overlap val="100"/>
        <c:axId val="74160000"/>
        <c:axId val="74275456"/>
      </c:barChart>
      <c:catAx>
        <c:axId val="74160000"/>
        <c:scaling>
          <c:orientation val="minMax"/>
        </c:scaling>
        <c:axPos val="b"/>
        <c:tickLblPos val="nextTo"/>
        <c:txPr>
          <a:bodyPr/>
          <a:lstStyle/>
          <a:p>
            <a:pPr>
              <a:defRPr lang="en-US"/>
            </a:pPr>
            <a:endParaRPr lang="en-US"/>
          </a:p>
        </c:txPr>
        <c:crossAx val="74275456"/>
        <c:crosses val="autoZero"/>
        <c:auto val="1"/>
        <c:lblAlgn val="ctr"/>
        <c:lblOffset val="100"/>
      </c:catAx>
      <c:valAx>
        <c:axId val="74275456"/>
        <c:scaling>
          <c:orientation val="minMax"/>
        </c:scaling>
        <c:axPos val="l"/>
        <c:majorGridlines/>
        <c:numFmt formatCode="General" sourceLinked="1"/>
        <c:tickLblPos val="none"/>
        <c:txPr>
          <a:bodyPr/>
          <a:lstStyle/>
          <a:p>
            <a:pPr>
              <a:defRPr lang="en-US"/>
            </a:pPr>
            <a:endParaRPr lang="en-US"/>
          </a:p>
        </c:txPr>
        <c:crossAx val="7416000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stacked"/>
        <c:ser>
          <c:idx val="0"/>
          <c:order val="0"/>
          <c:tx>
            <c:strRef>
              <c:f>Sheet1!$B$1</c:f>
              <c:strCache>
                <c:ptCount val="1"/>
                <c:pt idx="0">
                  <c:v>Column1</c:v>
                </c:pt>
              </c:strCache>
            </c:strRef>
          </c:tx>
          <c:dLbls>
            <c:txPr>
              <a:bodyPr/>
              <a:lstStyle/>
              <a:p>
                <a:pPr>
                  <a:defRPr lang="en-US"/>
                </a:pPr>
                <a:endParaRPr lang="en-US"/>
              </a:p>
            </c:txPr>
            <c:dLblPos val="inBase"/>
            <c:showVal val="1"/>
          </c:dLbls>
          <c:cat>
            <c:strRef>
              <c:f>Sheet1!$A$2:$A$9</c:f>
              <c:strCache>
                <c:ptCount val="8"/>
                <c:pt idx="0">
                  <c:v>USA</c:v>
                </c:pt>
                <c:pt idx="1">
                  <c:v>UK</c:v>
                </c:pt>
                <c:pt idx="2">
                  <c:v>GERMANY</c:v>
                </c:pt>
                <c:pt idx="3">
                  <c:v>RUSSIA</c:v>
                </c:pt>
                <c:pt idx="4">
                  <c:v>SOUTH AFRICA</c:v>
                </c:pt>
                <c:pt idx="5">
                  <c:v>BRAZIL</c:v>
                </c:pt>
                <c:pt idx="6">
                  <c:v>CHINA</c:v>
                </c:pt>
                <c:pt idx="7">
                  <c:v>INDIA</c:v>
                </c:pt>
              </c:strCache>
            </c:strRef>
          </c:cat>
          <c:val>
            <c:numRef>
              <c:f>Sheet1!$B$2:$B$9</c:f>
              <c:numCache>
                <c:formatCode>General</c:formatCode>
                <c:ptCount val="8"/>
                <c:pt idx="0">
                  <c:v>2130</c:v>
                </c:pt>
                <c:pt idx="1">
                  <c:v>1188</c:v>
                </c:pt>
                <c:pt idx="2">
                  <c:v>1578</c:v>
                </c:pt>
                <c:pt idx="3">
                  <c:v>295</c:v>
                </c:pt>
                <c:pt idx="4">
                  <c:v>215</c:v>
                </c:pt>
                <c:pt idx="5">
                  <c:v>189</c:v>
                </c:pt>
                <c:pt idx="6">
                  <c:v>64</c:v>
                </c:pt>
                <c:pt idx="7">
                  <c:v>10</c:v>
                </c:pt>
              </c:numCache>
            </c:numRef>
          </c:val>
        </c:ser>
        <c:overlap val="100"/>
        <c:axId val="78912128"/>
        <c:axId val="62050688"/>
      </c:barChart>
      <c:catAx>
        <c:axId val="78912128"/>
        <c:scaling>
          <c:orientation val="minMax"/>
        </c:scaling>
        <c:axPos val="b"/>
        <c:tickLblPos val="nextTo"/>
        <c:txPr>
          <a:bodyPr/>
          <a:lstStyle/>
          <a:p>
            <a:pPr>
              <a:defRPr lang="en-US"/>
            </a:pPr>
            <a:endParaRPr lang="en-US"/>
          </a:p>
        </c:txPr>
        <c:crossAx val="62050688"/>
        <c:crosses val="autoZero"/>
        <c:auto val="1"/>
        <c:lblAlgn val="ctr"/>
        <c:lblOffset val="100"/>
      </c:catAx>
      <c:valAx>
        <c:axId val="62050688"/>
        <c:scaling>
          <c:orientation val="minMax"/>
        </c:scaling>
        <c:delete val="1"/>
        <c:axPos val="l"/>
        <c:majorGridlines/>
        <c:numFmt formatCode="General" sourceLinked="1"/>
        <c:tickLblPos val="none"/>
        <c:crossAx val="789121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10</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2014-02-04T17:02:00Z</dcterms:created>
  <dcterms:modified xsi:type="dcterms:W3CDTF">2014-11-22T10:47:00Z</dcterms:modified>
</cp:coreProperties>
</file>